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ody>
    <w:p>
      <w:pPr>
        <w:spacing w:after="172" w:line="259" w:lineRule="auto"/>
        <w:ind w:firstLine="0"/>
        <w:jc w:val="center"/>
        <w:rPr>
          <w:rFonts w:ascii="宋体" w:eastAsia="宋体"/>
          <w:b/>
        </w:rPr>
      </w:pPr>
      <w:r>
        <w:rPr>
          <w:rFonts w:ascii="宋体" w:eastAsia="宋体" w:cs="Times New Roman" w:hint="eastAsia"/>
          <w:b/>
          <w:sz w:val="44"/>
        </w:rPr>
        <w:t>秦皇岛市委政法委</w:t>
      </w:r>
      <w:r>
        <w:rPr>
          <w:rFonts w:ascii="宋体" w:eastAsia="宋体" w:cs="Times New Roman"/>
          <w:b/>
          <w:sz w:val="44"/>
        </w:rPr>
        <w:t>2017 年部门预</w:t>
      </w:r>
      <w:r>
        <w:rPr>
          <w:rFonts w:ascii="宋体" w:eastAsia="宋体"/>
          <w:b/>
          <w:sz w:val="44"/>
        </w:rPr>
        <w:t>算信息公开</w:t>
      </w:r>
    </w:p>
    <w:p>
      <w:pPr>
        <w:ind w:left="-15"/>
        <w:rPr>
          <w:rFonts w:ascii="仿宋" w:eastAsia="仿宋"/>
          <w:szCs w:val="32"/>
        </w:rPr>
      </w:pPr>
      <w:r>
        <w:rPr>
          <w:rFonts w:ascii="仿宋" w:eastAsia="仿宋"/>
          <w:szCs w:val="32"/>
        </w:rPr>
        <w:t>按照《预算法》、《河北省预决算公开操作规程实施细则》和《秦皇岛市市级预算公开办法》规定，现将</w:t>
      </w:r>
      <w:r>
        <w:rPr>
          <w:rFonts w:ascii="仿宋" w:eastAsia="仿宋" w:hint="eastAsia"/>
          <w:szCs w:val="32"/>
        </w:rPr>
        <w:t>秦皇岛市委政法委</w:t>
      </w:r>
      <w:r>
        <w:rPr>
          <w:rFonts w:ascii="仿宋" w:eastAsia="仿宋"/>
          <w:szCs w:val="32"/>
        </w:rPr>
        <w:t>2017 年部门预算公开如下：</w:t>
      </w:r>
    </w:p>
    <w:p>
      <w:pPr>
        <w:pStyle w:val="16"/>
        <w:numPr>
          <w:ilvl w:val="0"/>
          <w:numId w:val="1"/>
        </w:numPr>
        <w:spacing w:after="10" w:line="379" w:lineRule="auto"/>
        <w:ind w:right="8665" w:firstLineChars="0"/>
        <w:rPr>
          <w:rFonts w:ascii="黑体" w:eastAsia="黑体"/>
          <w:szCs w:val="32"/>
        </w:rPr>
      </w:pPr>
      <w:r>
        <w:rPr>
          <w:rFonts w:ascii="黑体" w:eastAsia="黑体"/>
          <w:szCs w:val="32"/>
        </w:rPr>
        <w:t>部门职责及机构设置情况</w:t>
      </w:r>
    </w:p>
    <w:p>
      <w:pPr>
        <w:spacing w:after="10" w:line="379" w:lineRule="auto"/>
        <w:ind w:leftChars="196" w:left="627" w:right="8665" w:firstLineChars="50" w:firstLine="160"/>
        <w:rPr>
          <w:rFonts w:ascii="楷体" w:eastAsia="楷体"/>
          <w:szCs w:val="32"/>
        </w:rPr>
      </w:pPr>
      <w:r>
        <w:rPr>
          <w:rFonts w:ascii="楷体" w:eastAsia="楷体"/>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1、贯彻执行中央、省、市关于政法工作的路线、方针、政策和部署；负责对政法工作的政治、思想和组织领导，统一政法部门的思想和行动。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2、组织开展调查研究，对一定时期内的政法工作做出部署，并监督贯彻落实。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3、负责检查政法部门贯彻执行党的方针政策和法规情况，制定严肃执法的具体措施。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4、负责监督区政法部门依法独立行使职权，督促和协调有关部门查处大要案。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5、负责管理政法信息，开展政法宣传工作。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6、负责制定加强政法队伍建设和政法部门领导班子建设的措施，提出加强市政法部门领导建设的建议、协助有关部门管理区政法部门的干部队伍。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7、组织指导全市社会治安综合治理工作。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8、协助管理市政法部门的信访工作。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rPr>
          <w:rFonts w:ascii="仿宋" w:eastAsia="仿宋" w:hint="eastAsia"/>
          <w:szCs w:val="32"/>
        </w:rPr>
      </w:pPr>
      <w:r>
        <w:rPr>
          <w:rFonts w:ascii="仿宋" w:eastAsia="仿宋" w:hint="eastAsia"/>
          <w:szCs w:val="32"/>
        </w:rPr>
        <w:t>9、承办市委市政府交办的其他工作。</w:t>
      </w:r>
    </w:p>
    <w:p>
      <w:pPr>
        <w:spacing w:after="201" w:line="259" w:lineRule="auto"/>
        <w:ind w:firstLineChars="248" w:firstLine="793"/>
        <w:rPr>
          <w:rFonts w:ascii="楷体" w:eastAsia="楷体"/>
          <w:szCs w:val="32"/>
        </w:rPr>
      </w:pPr>
      <w:r>
        <w:rPr>
          <w:rFonts w:ascii="楷体" w:eastAsia="楷体"/>
          <w:szCs w:val="32"/>
        </w:rPr>
        <w:t>机构设置：</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rPr>
          <w:rFonts w:ascii="仿宋" w:eastAsia="仿宋"/>
          <w:sz w:val="32"/>
          <w:szCs w:val="32"/>
          <w:lang w:eastAsia="zh-CN"/>
        </w:rPr>
      </w:pPr>
      <w:r>
        <w:rPr>
          <w:rFonts w:ascii="仿宋" w:eastAsia="仿宋"/>
          <w:sz w:val="32"/>
          <w:szCs w:val="32"/>
          <w:lang w:eastAsia="zh-CN"/>
        </w:rPr>
        <w:t>秦皇岛市委政法委是正县级单位，</w:t>
      </w:r>
      <w:r>
        <w:rPr>
          <w:rFonts w:ascii="仿宋" w:eastAsia="仿宋" w:hint="eastAsia"/>
          <w:sz w:val="32"/>
          <w:szCs w:val="32"/>
          <w:lang w:eastAsia="zh-CN"/>
        </w:rPr>
        <w:t>本单位无下属部门。</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jc w:val="center"/>
        <w:rPr>
          <w:rFonts w:ascii="仿宋" w:eastAsia="仿宋"/>
          <w:sz w:val="32"/>
          <w:szCs w:val="32"/>
          <w:bdr w:val="none" w:sz="0" w:space="0" w:color="auto"/>
          <w:lang w:eastAsia="zh-CN"/>
        </w:rPr>
      </w:pPr>
      <w:r>
        <w:rPr>
          <w:rFonts w:ascii="仿宋" w:eastAsia="仿宋"/>
          <w:sz w:val="32"/>
          <w:szCs w:val="32"/>
          <w:bdr w:val="none" w:sz="0" w:space="0" w:color="auto"/>
          <w:lang w:eastAsia="zh-CN"/>
        </w:rPr>
        <w:t>部门机构设置情况</w:t>
      </w:r>
    </w:p>
    <w:tbl>
      <w:tblPr>
        <w:tblpPr w:leftFromText="180" w:rightFromText="180" w:vertAnchor="text" w:horzAnchor="page" w:tblpX="3034" w:tblpY="300"/>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16"/>
        <w:gridCol w:w="2916"/>
        <w:gridCol w:w="2916"/>
        <w:gridCol w:w="2916"/>
      </w:tblGrid>
      <w:tr>
        <w:trPr>
          <w:trHeight w:val="794"/>
        </w:trPr>
        <w:tc>
          <w:tcPr>
            <w:tcW w:w="2916" w:type="dxa"/>
            <w:vAlign w:val="center"/>
          </w:tcPr>
          <w:p>
            <w:pPr>
              <w:pStyle w:val="17"/>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int="eastAsia"/>
                <w:sz w:val="32"/>
                <w:szCs w:val="32"/>
                <w:lang w:eastAsia="zh-CN"/>
              </w:rPr>
            </w:pPr>
            <w:r>
              <w:rPr>
                <w:rFonts w:ascii="仿宋" w:eastAsia="仿宋" w:hint="eastAsia"/>
                <w:sz w:val="32"/>
                <w:szCs w:val="32"/>
                <w:lang w:eastAsia="zh-CN"/>
              </w:rPr>
              <w:t>单位名称</w:t>
            </w:r>
          </w:p>
        </w:tc>
        <w:tc>
          <w:tcPr>
            <w:tcW w:w="2916" w:type="dxa"/>
            <w:vAlign w:val="center"/>
          </w:tcPr>
          <w:p>
            <w:pPr>
              <w:pStyle w:val="17"/>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int="eastAsia"/>
                <w:sz w:val="32"/>
                <w:szCs w:val="32"/>
                <w:lang w:eastAsia="zh-CN"/>
              </w:rPr>
            </w:pPr>
            <w:r>
              <w:rPr>
                <w:rFonts w:ascii="仿宋" w:eastAsia="仿宋" w:hint="eastAsia"/>
                <w:sz w:val="32"/>
                <w:szCs w:val="32"/>
                <w:lang w:eastAsia="zh-CN"/>
              </w:rPr>
              <w:t>单位性质</w:t>
            </w:r>
          </w:p>
        </w:tc>
        <w:tc>
          <w:tcPr>
            <w:tcW w:w="2916" w:type="dxa"/>
            <w:vAlign w:val="center"/>
          </w:tcPr>
          <w:p>
            <w:pPr>
              <w:pStyle w:val="17"/>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int="eastAsia"/>
                <w:sz w:val="32"/>
                <w:szCs w:val="32"/>
                <w:lang w:eastAsia="zh-CN"/>
              </w:rPr>
            </w:pPr>
            <w:r>
              <w:rPr>
                <w:rFonts w:ascii="仿宋" w:eastAsia="仿宋" w:hint="eastAsia"/>
                <w:sz w:val="32"/>
                <w:szCs w:val="32"/>
                <w:lang w:eastAsia="zh-CN"/>
              </w:rPr>
              <w:t>单位规格</w:t>
            </w:r>
          </w:p>
        </w:tc>
        <w:tc>
          <w:tcPr>
            <w:tcW w:w="2916" w:type="dxa"/>
            <w:vAlign w:val="center"/>
          </w:tcPr>
          <w:p>
            <w:pPr>
              <w:pStyle w:val="17"/>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int="eastAsia"/>
                <w:sz w:val="32"/>
                <w:szCs w:val="32"/>
                <w:lang w:eastAsia="zh-CN"/>
              </w:rPr>
            </w:pPr>
            <w:r>
              <w:rPr>
                <w:rFonts w:ascii="仿宋" w:eastAsia="仿宋" w:hint="eastAsia"/>
                <w:sz w:val="32"/>
                <w:szCs w:val="32"/>
                <w:lang w:eastAsia="zh-CN"/>
              </w:rPr>
              <w:t>经费保障形式</w:t>
            </w:r>
          </w:p>
        </w:tc>
      </w:tr>
      <w:tr>
        <w:trPr>
          <w:trHeight w:val="794"/>
        </w:trPr>
        <w:tc>
          <w:tcPr>
            <w:tcW w:w="2916" w:type="dxa"/>
            <w:vAlign w:val="center"/>
          </w:tcPr>
          <w:p>
            <w:pPr>
              <w:pStyle w:val="17"/>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int="eastAsia"/>
                <w:sz w:val="32"/>
                <w:szCs w:val="32"/>
                <w:lang w:eastAsia="zh-CN"/>
              </w:rPr>
            </w:pPr>
            <w:r>
              <w:rPr>
                <w:rFonts w:ascii="仿宋" w:eastAsia="仿宋" w:hint="eastAsia"/>
                <w:sz w:val="32"/>
                <w:szCs w:val="32"/>
                <w:lang w:eastAsia="zh-CN"/>
              </w:rPr>
              <w:t>秦皇岛市政法委</w:t>
            </w:r>
          </w:p>
        </w:tc>
        <w:tc>
          <w:tcPr>
            <w:tcW w:w="2916" w:type="dxa"/>
            <w:vAlign w:val="center"/>
          </w:tcPr>
          <w:p>
            <w:pPr>
              <w:pStyle w:val="17"/>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int="eastAsia"/>
                <w:sz w:val="32"/>
                <w:szCs w:val="32"/>
                <w:lang w:eastAsia="zh-CN"/>
              </w:rPr>
            </w:pPr>
            <w:r>
              <w:rPr>
                <w:rFonts w:ascii="仿宋" w:eastAsia="仿宋" w:hint="eastAsia"/>
                <w:sz w:val="32"/>
                <w:szCs w:val="32"/>
                <w:lang w:eastAsia="zh-CN"/>
              </w:rPr>
              <w:t>行政</w:t>
            </w:r>
          </w:p>
        </w:tc>
        <w:tc>
          <w:tcPr>
            <w:tcW w:w="2916" w:type="dxa"/>
            <w:vAlign w:val="center"/>
          </w:tcPr>
          <w:p>
            <w:pPr>
              <w:pStyle w:val="17"/>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int="eastAsia"/>
                <w:sz w:val="32"/>
                <w:szCs w:val="32"/>
                <w:lang w:eastAsia="zh-CN"/>
              </w:rPr>
            </w:pPr>
            <w:r>
              <w:rPr>
                <w:rFonts w:ascii="仿宋" w:eastAsia="仿宋" w:hint="eastAsia"/>
                <w:sz w:val="32"/>
                <w:szCs w:val="32"/>
                <w:lang w:eastAsia="zh-CN"/>
              </w:rPr>
              <w:t>正县级</w:t>
            </w:r>
          </w:p>
        </w:tc>
        <w:tc>
          <w:tcPr>
            <w:tcW w:w="2916" w:type="dxa"/>
            <w:vAlign w:val="center"/>
          </w:tcPr>
          <w:p>
            <w:pPr>
              <w:pStyle w:val="17"/>
              <w:pBdr>
                <w:top w:val="none" w:sz="0" w:space="0" w:color="auto"/>
                <w:left w:val="none" w:sz="0" w:space="0" w:color="auto"/>
                <w:bottom w:val="none" w:sz="0" w:space="0" w:color="auto"/>
                <w:right w:val="none" w:sz="0" w:space="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int="eastAsia"/>
                <w:sz w:val="32"/>
                <w:szCs w:val="32"/>
                <w:lang w:eastAsia="zh-CN"/>
              </w:rPr>
            </w:pPr>
            <w:r>
              <w:rPr>
                <w:rFonts w:ascii="仿宋" w:eastAsia="仿宋" w:hint="eastAsia"/>
                <w:sz w:val="32"/>
                <w:szCs w:val="32"/>
                <w:lang w:eastAsia="zh-CN"/>
              </w:rPr>
              <w:t>财政拨款</w:t>
            </w:r>
          </w:p>
        </w:tc>
      </w:tr>
    </w:tbl>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480"/>
        <w:rPr>
          <w:rFonts w:ascii="楷体" w:eastAsia="楷体"/>
          <w:szCs w:val="32"/>
          <w:lang w:eastAsia="zh-CN"/>
        </w:rPr>
      </w:pP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480"/>
        <w:rPr>
          <w:rFonts w:ascii="楷体" w:eastAsia="楷体"/>
          <w:szCs w:val="32"/>
          <w:lang w:eastAsia="zh-CN"/>
        </w:rPr>
      </w:pP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480"/>
        <w:rPr>
          <w:rFonts w:ascii="楷体" w:eastAsia="楷体"/>
          <w:szCs w:val="32"/>
          <w:lang w:eastAsia="zh-CN"/>
        </w:rPr>
      </w:pP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480"/>
        <w:rPr>
          <w:rFonts w:ascii="楷体" w:eastAsia="楷体" w:hint="eastAsia"/>
          <w:szCs w:val="32"/>
          <w:lang w:eastAsia="zh-CN"/>
        </w:rPr>
      </w:pPr>
    </w:p>
    <w:p>
      <w:pPr>
        <w:spacing w:after="194" w:line="259" w:lineRule="auto"/>
        <w:ind w:left="636" w:right="8665" w:hanging="10"/>
        <w:rPr>
          <w:rFonts w:ascii="黑体" w:eastAsia="黑体"/>
          <w:szCs w:val="32"/>
        </w:rPr>
      </w:pPr>
      <w:r>
        <w:rPr>
          <w:rFonts w:ascii="黑体" w:eastAsia="黑体"/>
          <w:szCs w:val="32"/>
        </w:rPr>
        <w:t>二、部门预算安排的总体情况</w:t>
      </w:r>
    </w:p>
    <w:p>
      <w:pPr>
        <w:ind w:left="-15"/>
        <w:rPr>
          <w:rFonts w:ascii="仿宋" w:eastAsia="仿宋"/>
          <w:szCs w:val="32"/>
        </w:rPr>
      </w:pPr>
      <w:r>
        <w:rPr>
          <w:rFonts w:ascii="仿宋" w:eastAsia="仿宋"/>
          <w:szCs w:val="32"/>
        </w:rPr>
        <w:t>按照预算管理有关规定，目前我</w:t>
      </w:r>
      <w:r>
        <w:rPr>
          <w:rFonts w:ascii="仿宋" w:eastAsia="仿宋" w:hint="eastAsia"/>
          <w:szCs w:val="32"/>
        </w:rPr>
        <w:t>市</w:t>
      </w:r>
      <w:r>
        <w:rPr>
          <w:rFonts w:ascii="仿宋" w:eastAsia="仿宋"/>
          <w:szCs w:val="32"/>
        </w:rPr>
        <w:t>部门预算的编制实行综合预算制度，即全部收入和支出都反映的预算中。</w:t>
      </w:r>
      <w:r>
        <w:rPr>
          <w:rFonts w:ascii="仿宋" w:eastAsia="仿宋" w:hint="eastAsia"/>
          <w:szCs w:val="32"/>
        </w:rPr>
        <w:t>秦皇岛市委政法委机关</w:t>
      </w:r>
      <w:r>
        <w:rPr>
          <w:rFonts w:ascii="仿宋" w:eastAsia="仿宋"/>
          <w:szCs w:val="32"/>
        </w:rPr>
        <w:t>的收支包含在部门预算中。</w:t>
      </w:r>
    </w:p>
    <w:p>
      <w:pPr>
        <w:numPr>
          <w:ilvl w:val="0"/>
          <w:numId w:val="2"/>
        </w:numPr>
        <w:spacing w:after="206" w:line="259" w:lineRule="auto"/>
        <w:ind w:left="1121" w:hanging="480"/>
        <w:rPr>
          <w:rFonts w:ascii="仿宋" w:eastAsia="仿宋"/>
          <w:szCs w:val="32"/>
        </w:rPr>
      </w:pPr>
      <w:r>
        <w:rPr>
          <w:rFonts w:ascii="仿宋" w:eastAsia="仿宋"/>
          <w:szCs w:val="32"/>
        </w:rPr>
        <w:t>收入说明</w:t>
      </w:r>
    </w:p>
    <w:p>
      <w:pPr>
        <w:ind w:left="-15"/>
        <w:rPr>
          <w:rFonts w:ascii="仿宋" w:eastAsia="仿宋" w:hint="eastAsia"/>
          <w:szCs w:val="32"/>
        </w:rPr>
      </w:pPr>
      <w:r>
        <w:rPr>
          <w:rFonts w:ascii="仿宋" w:eastAsia="仿宋"/>
          <w:szCs w:val="32"/>
        </w:rPr>
        <w:t>反映本部门当年全部收入。</w:t>
      </w:r>
      <w:r>
        <w:rPr>
          <w:rFonts w:ascii="仿宋" w:eastAsia="仿宋" w:cs="Times New Roman"/>
          <w:szCs w:val="32"/>
        </w:rPr>
        <w:t xml:space="preserve">2017 </w:t>
      </w:r>
      <w:r>
        <w:rPr>
          <w:rFonts w:ascii="仿宋" w:eastAsia="仿宋"/>
          <w:szCs w:val="32"/>
        </w:rPr>
        <w:t>年预算收入</w:t>
      </w:r>
      <w:r>
        <w:rPr>
          <w:rFonts w:ascii="仿宋_GB2312" w:eastAsia="仿宋_GB2312" w:hint="eastAsia"/>
          <w:szCs w:val="32"/>
        </w:rPr>
        <w:t>1666.47万元</w:t>
      </w:r>
      <w:r>
        <w:rPr>
          <w:rFonts w:ascii="仿宋" w:eastAsia="仿宋"/>
          <w:szCs w:val="32"/>
        </w:rPr>
        <w:t>，为一般公共预算收入。</w:t>
      </w:r>
    </w:p>
    <w:p>
      <w:pPr>
        <w:numPr>
          <w:ilvl w:val="0"/>
          <w:numId w:val="2"/>
        </w:numPr>
        <w:spacing w:after="205" w:line="259" w:lineRule="auto"/>
        <w:ind w:left="1121" w:hanging="480"/>
        <w:rPr>
          <w:rFonts w:ascii="仿宋" w:eastAsia="仿宋"/>
          <w:szCs w:val="32"/>
        </w:rPr>
      </w:pPr>
      <w:r>
        <w:rPr>
          <w:rFonts w:ascii="仿宋" w:eastAsia="仿宋"/>
          <w:szCs w:val="32"/>
        </w:rPr>
        <w:t>支出说明</w:t>
      </w:r>
    </w:p>
    <w:p>
      <w:pPr>
        <w:spacing w:after="0"/>
        <w:ind w:left="-15" w:right="296" w:firstLine="631"/>
        <w:jc w:val="both"/>
        <w:rPr>
          <w:rFonts w:ascii="仿宋" w:eastAsia="仿宋"/>
          <w:szCs w:val="32"/>
        </w:rPr>
      </w:pPr>
      <w:r>
        <w:rPr>
          <w:rFonts w:ascii="仿宋" w:eastAsia="仿宋"/>
          <w:szCs w:val="32"/>
        </w:rPr>
        <w:t>收支预算总表支出栏、基本支出表、项目支出表按经济分类和支出功能分类科目编制，反映年度部门预算中支出预算的总体情况。</w:t>
      </w:r>
      <w:r>
        <w:rPr>
          <w:rFonts w:ascii="仿宋" w:eastAsia="仿宋" w:cs="Times New Roman"/>
          <w:szCs w:val="32"/>
        </w:rPr>
        <w:t xml:space="preserve">2017 </w:t>
      </w:r>
      <w:r>
        <w:rPr>
          <w:rFonts w:ascii="仿宋" w:eastAsia="仿宋"/>
          <w:szCs w:val="32"/>
        </w:rPr>
        <w:t>年支出预算</w:t>
      </w:r>
      <w:r>
        <w:rPr>
          <w:rFonts w:ascii="仿宋_GB2312" w:eastAsia="仿宋_GB2312" w:hint="eastAsia"/>
          <w:szCs w:val="32"/>
        </w:rPr>
        <w:t>1666.47万元</w:t>
      </w:r>
      <w:r>
        <w:rPr>
          <w:rFonts w:ascii="仿宋" w:eastAsia="仿宋"/>
          <w:szCs w:val="32"/>
        </w:rPr>
        <w:t>，其中基本支出</w:t>
      </w:r>
      <w:r>
        <w:rPr>
          <w:rFonts w:ascii="仿宋_GB2312" w:eastAsia="仿宋_GB2312" w:hint="eastAsia"/>
          <w:szCs w:val="32"/>
        </w:rPr>
        <w:t>772.47万元</w:t>
      </w:r>
      <w:bookmarkStart w:id="0" w:name="_GoBack"/>
      <w:bookmarkEnd w:id="0"/>
      <w:r>
        <w:rPr>
          <w:rFonts w:ascii="仿宋" w:eastAsia="仿宋"/>
          <w:szCs w:val="32"/>
        </w:rPr>
        <w:t>，包括人员经费和日常公用经费；项目支出</w:t>
      </w:r>
      <w:r>
        <w:rPr>
          <w:rFonts w:ascii="仿宋_GB2312" w:eastAsia="仿宋_GB2312" w:hint="eastAsia"/>
          <w:szCs w:val="32"/>
        </w:rPr>
        <w:t>894万元</w:t>
      </w:r>
      <w:r>
        <w:rPr>
          <w:rFonts w:ascii="仿宋" w:eastAsia="仿宋"/>
          <w:szCs w:val="32"/>
        </w:rPr>
        <w:t>，为本级支出，主要为联防护路工作经费、法治秦皇岛建设专项经费、全市社会治安综合治理工作经费、加强和创新社会管理工作经费、全市维护稳定和司法求助工作经费、全市见义勇为工作经费、全市政法干警人身意外伤害保险经费、全市政法信息网络运行维护经费、法学会法律专家服务站经费、“三位一体”调解工作经费、文职人员管理经费及综管办专管员工资及办公经费。</w:t>
      </w:r>
    </w:p>
    <w:p>
      <w:pPr>
        <w:numPr>
          <w:ilvl w:val="0"/>
          <w:numId w:val="2"/>
        </w:numPr>
        <w:spacing w:after="206" w:line="259" w:lineRule="auto"/>
        <w:ind w:left="1121" w:hanging="480"/>
        <w:rPr>
          <w:rFonts w:ascii="仿宋" w:eastAsia="仿宋"/>
          <w:szCs w:val="32"/>
        </w:rPr>
      </w:pPr>
      <w:r>
        <w:rPr>
          <w:rFonts w:ascii="仿宋" w:eastAsia="仿宋"/>
          <w:szCs w:val="32"/>
        </w:rPr>
        <w:t>比上年增减情况</w:t>
      </w:r>
    </w:p>
    <w:p>
      <w:pPr>
        <w:spacing w:after="0"/>
        <w:ind w:left="-15" w:right="296" w:firstLine="631"/>
        <w:jc w:val="both"/>
        <w:rPr>
          <w:rFonts w:ascii="仿宋" w:eastAsia="仿宋" w:cs="Times New Roman"/>
          <w:szCs w:val="32"/>
          <w:bdr w:val="none" w:sz="0" w:space="0" w:color="auto"/>
        </w:rPr>
      </w:pPr>
      <w:r>
        <w:rPr>
          <w:rFonts w:ascii="仿宋" w:eastAsia="仿宋" w:cs="Times New Roman"/>
          <w:szCs w:val="32"/>
        </w:rPr>
        <w:t xml:space="preserve">2017 </w:t>
      </w:r>
      <w:r>
        <w:rPr>
          <w:rFonts w:ascii="仿宋" w:eastAsia="仿宋"/>
          <w:szCs w:val="32"/>
        </w:rPr>
        <w:t>年预算收支安排</w:t>
      </w:r>
      <w:r>
        <w:rPr>
          <w:rFonts w:ascii="仿宋_GB2312" w:eastAsia="仿宋_GB2312" w:hint="eastAsia"/>
          <w:szCs w:val="32"/>
        </w:rPr>
        <w:t>1666.47万元</w:t>
      </w:r>
      <w:r>
        <w:rPr>
          <w:rFonts w:ascii="仿宋" w:eastAsia="仿宋"/>
          <w:szCs w:val="32"/>
        </w:rPr>
        <w:t>，较</w:t>
      </w:r>
      <w:r>
        <w:rPr>
          <w:rFonts w:ascii="仿宋" w:eastAsia="仿宋" w:cs="Times New Roman"/>
          <w:szCs w:val="32"/>
        </w:rPr>
        <w:t xml:space="preserve">2016 </w:t>
      </w:r>
      <w:r>
        <w:rPr>
          <w:rFonts w:ascii="仿宋" w:eastAsia="仿宋"/>
          <w:szCs w:val="32"/>
        </w:rPr>
        <w:t>年预算</w:t>
      </w:r>
      <w:r>
        <w:rPr>
          <w:rFonts w:ascii="仿宋" w:eastAsia="仿宋" w:cs="Times New Roman"/>
          <w:szCs w:val="32"/>
          <w:bdr w:val="none" w:sz="0" w:space="0" w:color="auto"/>
        </w:rPr>
        <w:t xml:space="preserve">增加126.76 </w:t>
      </w:r>
      <w:r>
        <w:rPr>
          <w:rFonts w:ascii="仿宋" w:eastAsia="仿宋"/>
          <w:szCs w:val="32"/>
        </w:rPr>
        <w:t>万元，其中</w:t>
      </w:r>
      <w:r>
        <w:rPr>
          <w:rFonts w:ascii="仿宋" w:eastAsia="仿宋" w:cs="Times New Roman"/>
          <w:szCs w:val="32"/>
          <w:bdr w:val="none" w:sz="0" w:space="0" w:color="auto"/>
        </w:rPr>
        <w:t>：基本支出增加36.66万元；项目支出增加90.1万元，主要是新增了法治秦皇岛建设、法学会法律专家服务站等专项资金项目支出。</w:t>
      </w:r>
    </w:p>
    <w:p>
      <w:pPr>
        <w:spacing w:after="194" w:line="259" w:lineRule="auto"/>
        <w:ind w:leftChars="199" w:left="636" w:right="8665" w:firstLineChars="50" w:firstLine="160"/>
        <w:rPr>
          <w:rFonts w:ascii="黑体" w:eastAsia="黑体"/>
          <w:szCs w:val="32"/>
        </w:rPr>
      </w:pPr>
      <w:r>
        <w:rPr>
          <w:rFonts w:ascii="黑体" w:eastAsia="黑体" w:hint="eastAsia"/>
          <w:szCs w:val="32"/>
        </w:rPr>
        <w:t>三、</w:t>
      </w:r>
      <w:r>
        <w:rPr>
          <w:rFonts w:ascii="黑体" w:eastAsia="黑体"/>
          <w:szCs w:val="32"/>
        </w:rPr>
        <w:t>机关运行经费安排情况</w:t>
      </w:r>
    </w:p>
    <w:p>
      <w:pPr>
        <w:ind w:left="197"/>
        <w:rPr>
          <w:rFonts w:ascii="仿宋_GB2312" w:eastAsia="仿宋_GB2312" w:hint="eastAsia"/>
          <w:szCs w:val="32"/>
          <w:bdr w:val="none" w:sz="0" w:space="0" w:color="auto"/>
        </w:rPr>
      </w:pPr>
      <w:r>
        <w:rPr>
          <w:rFonts w:ascii="仿宋_GB2312" w:eastAsia="仿宋_GB2312" w:hint="eastAsia"/>
          <w:sz w:val="32"/>
          <w:szCs w:val="32"/>
        </w:rPr>
        <w:t>严格执行人员编制和经费双控制度，按照规定标准和项目核定人员经费670.54万元；按照定额标准核定日常公用经费101.93万元。</w:t>
      </w:r>
      <w:r>
        <w:rPr>
          <w:rFonts w:ascii="仿宋" w:eastAsia="仿宋"/>
          <w:szCs w:val="32"/>
        </w:rPr>
        <w:t>机关运行经费共计安</w:t>
      </w:r>
      <w:r>
        <w:rPr>
          <w:rFonts w:ascii="仿宋_GB2312" w:eastAsia="仿宋_GB2312" w:hint="eastAsia"/>
          <w:szCs w:val="32"/>
          <w:bdr w:val="none" w:sz="0" w:space="0" w:color="auto"/>
        </w:rPr>
        <w:t>排</w:t>
      </w:r>
      <w:r>
        <w:rPr>
          <w:rFonts w:ascii="仿宋_GB2312" w:eastAsia="仿宋_GB2312" w:cs="Times New Roman" w:hint="eastAsia"/>
          <w:szCs w:val="32"/>
          <w:bdr w:val="none" w:sz="0" w:space="0" w:color="auto"/>
        </w:rPr>
        <w:t>308.93</w:t>
      </w:r>
      <w:r>
        <w:rPr>
          <w:rFonts w:ascii="仿宋_GB2312" w:eastAsia="仿宋_GB2312" w:hint="eastAsia"/>
          <w:szCs w:val="32"/>
          <w:bdr w:val="none" w:sz="0" w:space="0" w:color="auto"/>
        </w:rPr>
        <w:t>万元，</w:t>
      </w:r>
      <w:r>
        <w:rPr>
          <w:rFonts w:ascii="仿宋" w:eastAsia="仿宋" w:hint="eastAsia"/>
          <w:szCs w:val="32"/>
        </w:rPr>
        <w:t>主要用于办公费、水费、电费、邮电费、办公取暖费、物业管理费、差旅费、维修(护)费、会议费、办公设备购置费、公务用车运行维护费、公务交通补贴、离退休干部经费、印刷费、培训费、公务接待费、工会经费、福利费、党组织活动经费、不可预见费。</w:t>
      </w:r>
    </w:p>
    <w:p>
      <w:pPr>
        <w:ind w:firstLineChars="248" w:firstLine="793"/>
        <w:rPr>
          <w:rFonts w:ascii="黑体" w:eastAsia="黑体"/>
          <w:szCs w:val="32"/>
        </w:rPr>
      </w:pPr>
      <w:r>
        <w:rPr>
          <w:rFonts w:ascii="黑体" w:eastAsia="黑体" w:hint="eastAsia"/>
          <w:szCs w:val="32"/>
        </w:rPr>
        <w:t>四、</w:t>
      </w:r>
      <w:r>
        <w:rPr>
          <w:rFonts w:ascii="黑体" w:eastAsia="黑体"/>
          <w:szCs w:val="32"/>
        </w:rPr>
        <w:t>财政拨款“三公”经费预算情况及增减变化原因</w:t>
      </w:r>
    </w:p>
    <w:p>
      <w:pPr>
        <w:ind w:left="197"/>
        <w:rPr>
          <w:rFonts w:ascii="仿宋_GB2312" w:eastAsia="仿宋_GB2312"/>
          <w:sz w:val="32"/>
          <w:szCs w:val="32"/>
        </w:rPr>
      </w:pPr>
      <w:r>
        <w:rPr>
          <w:rFonts w:ascii="仿宋_GB2312" w:eastAsia="仿宋_GB2312"/>
          <w:sz w:val="32"/>
          <w:szCs w:val="32"/>
        </w:rPr>
        <w:t>2017年，秦皇岛市委政法委部门财政拨款</w:t>
      </w:r>
      <w:r>
        <w:rPr>
          <w:rFonts w:ascii="仿宋_GB2312" w:eastAsia="仿宋_GB2312" w:hint="eastAsia"/>
          <w:sz w:val="32"/>
          <w:szCs w:val="32"/>
        </w:rPr>
        <w:t>“三公”经费</w:t>
      </w:r>
      <w:r>
        <w:rPr>
          <w:rFonts w:ascii="仿宋_GB2312" w:eastAsia="仿宋_GB2312"/>
          <w:sz w:val="32"/>
          <w:szCs w:val="32"/>
        </w:rPr>
        <w:t>预算安排</w:t>
      </w:r>
      <w:r>
        <w:rPr>
          <w:rFonts w:ascii="仿宋_GB2312" w:eastAsia="仿宋_GB2312" w:hint="eastAsia"/>
          <w:sz w:val="32"/>
          <w:szCs w:val="32"/>
        </w:rPr>
        <w:t>6.58万元，较上年减少6万元。其中：公务用车运行及维护费5.78万元</w:t>
      </w:r>
      <w:r>
        <w:rPr>
          <w:rFonts w:ascii="仿宋_GB2312" w:eastAsia="仿宋_GB2312"/>
          <w:sz w:val="32"/>
          <w:szCs w:val="32"/>
        </w:rPr>
        <w:t>（其中：公务用车购置费为0，公务用车运行费为5.78万元）</w:t>
      </w:r>
      <w:r>
        <w:rPr>
          <w:rFonts w:ascii="仿宋_GB2312" w:eastAsia="仿宋_GB2312" w:hint="eastAsia"/>
          <w:sz w:val="32"/>
          <w:szCs w:val="32"/>
        </w:rPr>
        <w:t>；因公出国（境）费0万元；公务接待费0.8万元。</w:t>
      </w:r>
      <w:r>
        <w:rPr>
          <w:rFonts w:ascii="仿宋_GB2312" w:eastAsia="仿宋_GB2312"/>
          <w:sz w:val="32"/>
          <w:szCs w:val="32"/>
        </w:rPr>
        <w:t>2017年</w:t>
      </w:r>
      <w:r>
        <w:rPr>
          <w:rFonts w:ascii="仿宋_GB2312" w:eastAsia="仿宋_GB2312" w:hint="eastAsia"/>
          <w:sz w:val="32"/>
          <w:szCs w:val="32"/>
        </w:rPr>
        <w:t>“</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经费较2016年减少的主要原因有：一是公务用车运行维护费预算比</w:t>
      </w:r>
      <w:r>
        <w:rPr>
          <w:rFonts w:ascii="仿宋_GB2312" w:eastAsia="仿宋_GB2312" w:hint="eastAsia"/>
          <w:sz w:val="32"/>
          <w:szCs w:val="32"/>
        </w:rPr>
        <w:t>上年减少5.73万元</w:t>
      </w:r>
      <w:r>
        <w:rPr>
          <w:rFonts w:ascii="仿宋_GB2312" w:eastAsia="仿宋_GB2312"/>
          <w:sz w:val="32"/>
          <w:szCs w:val="32"/>
        </w:rPr>
        <w:t>，原因是公务用车制度改革实施后，</w:t>
      </w:r>
      <w:r>
        <w:rPr>
          <w:rFonts w:ascii="仿宋_GB2312" w:eastAsia="仿宋_GB2312" w:hint="eastAsia"/>
          <w:sz w:val="32"/>
          <w:szCs w:val="32"/>
        </w:rPr>
        <w:t>公</w:t>
      </w:r>
      <w:r>
        <w:rPr>
          <w:rFonts w:ascii="仿宋_GB2312" w:eastAsia="仿宋_GB2312"/>
          <w:sz w:val="32"/>
          <w:szCs w:val="32"/>
        </w:rPr>
        <w:t>务用车</w:t>
      </w:r>
      <w:r>
        <w:rPr>
          <w:rFonts w:ascii="仿宋_GB2312" w:eastAsia="仿宋_GB2312" w:hint="eastAsia"/>
          <w:sz w:val="32"/>
          <w:szCs w:val="32"/>
        </w:rPr>
        <w:t>数量减少，</w:t>
      </w:r>
      <w:r>
        <w:rPr>
          <w:rFonts w:ascii="仿宋_GB2312" w:eastAsia="仿宋_GB2312"/>
          <w:sz w:val="32"/>
          <w:szCs w:val="32"/>
        </w:rPr>
        <w:t>规范公务用车管理，公务用车运行维护费随之降低；二是公务接待费预算比</w:t>
      </w:r>
      <w:r>
        <w:rPr>
          <w:rFonts w:ascii="仿宋_GB2312" w:eastAsia="仿宋_GB2312" w:hint="eastAsia"/>
          <w:sz w:val="32"/>
          <w:szCs w:val="32"/>
        </w:rPr>
        <w:t>上年减少0.27万元</w:t>
      </w:r>
      <w:r>
        <w:rPr>
          <w:rFonts w:ascii="仿宋_GB2312" w:eastAsia="仿宋_GB2312"/>
          <w:sz w:val="32"/>
          <w:szCs w:val="32"/>
        </w:rPr>
        <w:t>，原因是规范公务接待管理，严格执行公务接待经费核算制度。</w:t>
      </w:r>
    </w:p>
    <w:p>
      <w:pPr>
        <w:ind w:firstLineChars="248" w:firstLine="793"/>
        <w:rPr>
          <w:rFonts w:ascii="黑体" w:eastAsia="黑体"/>
          <w:szCs w:val="32"/>
        </w:rPr>
      </w:pPr>
      <w:r>
        <w:rPr>
          <w:rFonts w:ascii="黑体" w:eastAsia="黑体" w:hint="eastAsia"/>
          <w:szCs w:val="32"/>
        </w:rPr>
        <w:t>五、</w:t>
      </w:r>
      <w:r>
        <w:rPr>
          <w:rFonts w:ascii="黑体" w:eastAsia="黑体"/>
          <w:szCs w:val="32"/>
        </w:rPr>
        <w:t>绩效预算信息总体绩效目标：</w:t>
      </w:r>
    </w:p>
    <w:p>
      <w:pPr>
        <w:ind w:left="197"/>
        <w:rPr>
          <w:rFonts w:ascii="仿宋_GB2312" w:eastAsia="仿宋_GB2312" w:hint="eastAsia"/>
          <w:szCs w:val="32"/>
          <w:bdr w:val="none" w:sz="0" w:space="0" w:color="auto"/>
        </w:rPr>
      </w:pPr>
      <w:r>
        <w:rPr>
          <w:rFonts w:ascii="仿宋_GB2312" w:eastAsia="仿宋_GB2312" w:hint="eastAsia"/>
          <w:szCs w:val="32"/>
          <w:bdr w:val="none" w:sz="0" w:space="0" w:color="auto"/>
        </w:rPr>
        <w:t>以确保党的十九大胜利召开和暑期绝对安全为核心，紧紧围绕“生态立市、产业强市、开放兴市、文明铸市”发展战略，切实强化风险防控、法治思维、创新发展、责任担当四个理念，努力提高预防预控、保驾护航、依法履职、司法为民四种能力，圆满完成维护稳定、服务大局、法治建设、队伍建设四项任务，为建设“沿海强市、美丽港城”创造安全稳定的社会环境、公平正义的法治环境和优质高效的服务环境。</w:t>
      </w:r>
    </w:p>
    <w:p>
      <w:pPr>
        <w:spacing w:after="189" w:line="259" w:lineRule="auto"/>
        <w:ind w:left="644" w:firstLine="0"/>
        <w:rPr>
          <w:rFonts w:ascii="仿宋" w:eastAsia="仿宋"/>
          <w:szCs w:val="32"/>
        </w:rPr>
      </w:pPr>
    </w:p>
    <w:p>
      <w:pPr>
        <w:spacing w:after="189" w:line="259" w:lineRule="auto"/>
        <w:ind w:left="644" w:firstLine="0"/>
        <w:rPr>
          <w:rFonts w:ascii="仿宋" w:eastAsia="仿宋"/>
          <w:szCs w:val="32"/>
        </w:rPr>
      </w:pPr>
      <w:r>
        <w:rPr>
          <w:rFonts w:ascii="仿宋" w:eastAsia="仿宋"/>
          <w:szCs w:val="32"/>
        </w:rPr>
        <w:t>部门职责及工作活动绩效目标指标：</w:t>
      </w:r>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313中共秦皇岛市委政法委</w:t>
            </w:r>
          </w:p>
        </w:tc>
        <w:tc>
          <w:tcPr>
            <w:tcW w:w="2948" w:type="dxa"/>
            <w:gridSpan w:val="4"/>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仿宋" w:eastAsia="仿宋" w:hint="eastAsia"/>
                <w:sz w:val="21"/>
                <w:szCs w:val="21"/>
              </w:rPr>
            </w:pPr>
            <w:r>
              <w:rPr>
                <w:rFonts w:ascii="仿宋" w:eastAsia="仿宋" w:hint="eastAsia"/>
                <w:sz w:val="21"/>
                <w:szCs w:val="21"/>
              </w:rPr>
              <w:t>单位：万元</w:t>
            </w:r>
          </w:p>
        </w:tc>
      </w:tr>
      <w:tr>
        <w:trPr>
          <w:cantSplit/>
          <w:trHeight w:val="227"/>
          <w:tblHeader/>
        </w:trPr>
        <w:tc>
          <w:tcPr>
            <w:tcW w:w="2341" w:type="dxa"/>
            <w:vMerge w:val="restart"/>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hint="eastAsia"/>
                <w:b/>
                <w:sz w:val="21"/>
                <w:szCs w:val="21"/>
              </w:rPr>
              <w:t>职责活动</w:t>
            </w:r>
          </w:p>
        </w:tc>
        <w:tc>
          <w:tcPr>
            <w:tcW w:w="1276" w:type="dxa"/>
            <w:vMerge w:val="restart"/>
            <w:tcBorders>
              <w:tl2br w:val="nil"/>
              <w:tr2bl w:val="nil"/>
            </w:tcBorders>
            <w:shd w:val="clear" w:color="auto" w:fill="auto"/>
            <w:vAlign w:val="center"/>
          </w:tcPr>
          <w:p>
            <w:pPr>
              <w:spacing w:line="300" w:lineRule="exact"/>
              <w:ind w:left="0" w:hanging="11"/>
              <w:jc w:val="center"/>
              <w:rPr>
                <w:rFonts w:ascii="仿宋" w:eastAsia="仿宋" w:hint="eastAsia"/>
                <w:b/>
                <w:sz w:val="21"/>
                <w:szCs w:val="21"/>
              </w:rPr>
            </w:pPr>
            <w:r>
              <w:rPr>
                <w:rFonts w:ascii="仿宋" w:eastAsia="仿宋" w:hint="eastAsia"/>
                <w:b/>
                <w:sz w:val="21"/>
                <w:szCs w:val="21"/>
              </w:rPr>
              <w:t>年度预算数</w:t>
            </w:r>
          </w:p>
        </w:tc>
        <w:tc>
          <w:tcPr>
            <w:tcW w:w="2976" w:type="dxa"/>
            <w:vMerge w:val="restart"/>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hint="eastAsia"/>
                <w:b/>
                <w:sz w:val="21"/>
                <w:szCs w:val="21"/>
              </w:rPr>
              <w:t>内容描述</w:t>
            </w:r>
          </w:p>
        </w:tc>
        <w:tc>
          <w:tcPr>
            <w:tcW w:w="2976" w:type="dxa"/>
            <w:vMerge w:val="restart"/>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hint="eastAsia"/>
                <w:b/>
                <w:sz w:val="21"/>
                <w:szCs w:val="21"/>
              </w:rPr>
              <w:t>绩效目标</w:t>
            </w:r>
          </w:p>
        </w:tc>
        <w:tc>
          <w:tcPr>
            <w:tcW w:w="1417" w:type="dxa"/>
            <w:vMerge w:val="restart"/>
            <w:tcBorders>
              <w:tl2br w:val="nil"/>
              <w:tr2bl w:val="nil"/>
            </w:tcBorders>
            <w:shd w:val="clear" w:color="auto" w:fill="auto"/>
            <w:vAlign w:val="center"/>
          </w:tcPr>
          <w:p>
            <w:pPr>
              <w:spacing w:line="300" w:lineRule="exact"/>
              <w:ind w:left="0" w:hanging="9"/>
              <w:jc w:val="center"/>
              <w:rPr>
                <w:rFonts w:ascii="仿宋" w:eastAsia="仿宋" w:hint="eastAsia"/>
                <w:b/>
                <w:sz w:val="21"/>
                <w:szCs w:val="21"/>
              </w:rPr>
            </w:pPr>
            <w:r>
              <w:rPr>
                <w:rFonts w:ascii="仿宋" w:eastAsia="仿宋" w:hint="eastAsia"/>
                <w:b/>
                <w:sz w:val="21"/>
                <w:szCs w:val="21"/>
              </w:rPr>
              <w:t>绩效指标</w:t>
            </w:r>
          </w:p>
        </w:tc>
        <w:tc>
          <w:tcPr>
            <w:tcW w:w="2948" w:type="dxa"/>
            <w:gridSpan w:val="4"/>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hint="eastAsia"/>
                <w:b/>
                <w:sz w:val="21"/>
                <w:szCs w:val="21"/>
              </w:rPr>
              <w:t>评价标准</w:t>
            </w:r>
          </w:p>
        </w:tc>
      </w:tr>
      <w:tr>
        <w:trPr>
          <w:cantSplit/>
          <w:trHeight w:val="227"/>
          <w:tblHeader/>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vMerg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b/>
                <w:sz w:val="21"/>
                <w:szCs w:val="21"/>
              </w:rPr>
              <w:t>人</w:t>
            </w:r>
            <w:r>
              <w:rPr>
                <w:rFonts w:ascii="仿宋" w:eastAsia="仿宋" w:hint="eastAsia"/>
                <w:b/>
                <w:sz w:val="21"/>
                <w:szCs w:val="21"/>
              </w:rPr>
              <w:t>优</w:t>
            </w:r>
          </w:p>
        </w:tc>
        <w:tc>
          <w:tcPr>
            <w:tcW w:w="737" w:type="dxa"/>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b/>
                <w:sz w:val="21"/>
                <w:szCs w:val="21"/>
              </w:rPr>
              <w:t>主</w:t>
            </w:r>
            <w:r>
              <w:rPr>
                <w:rFonts w:ascii="仿宋" w:eastAsia="仿宋" w:hint="eastAsia"/>
                <w:b/>
                <w:sz w:val="21"/>
                <w:szCs w:val="21"/>
              </w:rPr>
              <w:t>良</w:t>
            </w:r>
          </w:p>
        </w:tc>
        <w:tc>
          <w:tcPr>
            <w:tcW w:w="737" w:type="dxa"/>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b/>
                <w:sz w:val="21"/>
                <w:szCs w:val="21"/>
              </w:rPr>
              <w:t>中</w:t>
            </w:r>
            <w:r>
              <w:rPr>
                <w:rFonts w:ascii="仿宋" w:eastAsia="仿宋" w:hint="eastAsia"/>
                <w:b/>
                <w:sz w:val="21"/>
                <w:szCs w:val="21"/>
              </w:rPr>
              <w:t>中</w:t>
            </w:r>
          </w:p>
        </w:tc>
        <w:tc>
          <w:tcPr>
            <w:tcW w:w="737" w:type="dxa"/>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b/>
                <w:sz w:val="21"/>
                <w:szCs w:val="21"/>
              </w:rPr>
              <w:t>产</w:t>
            </w:r>
            <w:r>
              <w:rPr>
                <w:rFonts w:ascii="仿宋" w:eastAsia="仿宋" w:hint="eastAsia"/>
                <w:b/>
                <w:sz w:val="21"/>
                <w:szCs w:val="21"/>
              </w:rPr>
              <w:t>差</w:t>
            </w:r>
          </w:p>
        </w:tc>
      </w:tr>
      <w:tr>
        <w:trPr>
          <w:trHeight w:val="227"/>
        </w:trPr>
        <w:tc>
          <w:tcPr>
            <w:tcW w:w="2341" w:type="dxa"/>
            <w:tcBorders>
              <w:tl2br w:val="nil"/>
              <w:tr2bl w:val="nil"/>
            </w:tcBorders>
            <w:shd w:val="clear" w:color="auto" w:fill="auto"/>
            <w:vAlign w:val="center"/>
          </w:tcPr>
          <w:p>
            <w:pPr>
              <w:spacing w:line="300" w:lineRule="exact"/>
              <w:ind w:left="0" w:hanging="10"/>
              <w:jc w:val="left"/>
              <w:rPr>
                <w:rFonts w:ascii="仿宋" w:eastAsia="仿宋" w:hint="eastAsia"/>
                <w:b/>
                <w:sz w:val="21"/>
                <w:szCs w:val="21"/>
              </w:rPr>
            </w:pPr>
            <w:r>
              <w:rPr>
                <w:rFonts w:ascii="仿宋" w:eastAsia="仿宋" w:hint="eastAsia"/>
                <w:b/>
                <w:sz w:val="21"/>
                <w:szCs w:val="21"/>
              </w:rPr>
              <w:t>社会治安综合治理工作</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260.00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抓好打击、防范、管理、控制等各项措施的落实，有效掌控各类影响社会安全稳定的矛盾纠纷，消除各类治安和安全隐患，确保全市社会大局稳定。扎实开展群防群治活动，努力打造平安城市、平安社区活动。</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按照“整体防控，突出重点，点面结合、以点带面、以面保点”的工作思路，通过组建治安协管员、志愿者队伍、开展平安港城、非访治理和加强铁路护路联防工作，全面落实各项政法、综治工作措施，努力实现各敏感时期稳定的工作目标。</w:t>
            </w:r>
          </w:p>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cantSplit/>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xml:space="preserve">　　"1、政法综治宣传     </w:t>
            </w:r>
          </w:p>
          <w:p>
            <w:pPr>
              <w:spacing w:line="300" w:lineRule="exact"/>
              <w:jc w:val="left"/>
              <w:rPr>
                <w:rFonts w:ascii="仿宋" w:eastAsia="仿宋" w:hint="eastAsia"/>
                <w:b/>
                <w:sz w:val="21"/>
                <w:szCs w:val="21"/>
              </w:rPr>
            </w:pPr>
            <w:r>
              <w:rPr>
                <w:rFonts w:ascii="仿宋" w:eastAsia="仿宋" w:hint="eastAsia"/>
                <w:b/>
                <w:sz w:val="21"/>
                <w:szCs w:val="21"/>
              </w:rPr>
              <w:t xml:space="preserve">2、政法系统培训费     </w:t>
            </w:r>
          </w:p>
          <w:p>
            <w:pPr>
              <w:spacing w:line="300" w:lineRule="exact"/>
              <w:jc w:val="left"/>
              <w:rPr>
                <w:rFonts w:ascii="仿宋" w:eastAsia="仿宋" w:hint="eastAsia"/>
                <w:b/>
                <w:sz w:val="21"/>
                <w:szCs w:val="21"/>
              </w:rPr>
            </w:pPr>
            <w:r>
              <w:rPr>
                <w:rFonts w:ascii="仿宋" w:eastAsia="仿宋" w:hint="eastAsia"/>
                <w:b/>
                <w:sz w:val="21"/>
                <w:szCs w:val="21"/>
              </w:rPr>
              <w:t xml:space="preserve">3、检查全市政法系统值班备勤和慰问     </w:t>
            </w:r>
          </w:p>
          <w:p>
            <w:pPr>
              <w:spacing w:line="300" w:lineRule="exact"/>
              <w:jc w:val="left"/>
              <w:rPr>
                <w:rFonts w:ascii="仿宋" w:eastAsia="仿宋" w:hint="eastAsia"/>
                <w:b/>
                <w:sz w:val="21"/>
                <w:szCs w:val="21"/>
              </w:rPr>
            </w:pPr>
            <w:r>
              <w:rPr>
                <w:rFonts w:ascii="仿宋" w:eastAsia="仿宋" w:hint="eastAsia"/>
                <w:b/>
                <w:sz w:val="21"/>
                <w:szCs w:val="21"/>
              </w:rPr>
              <w:t xml:space="preserve">4、开展平安志愿者服务活动     </w:t>
            </w:r>
          </w:p>
          <w:p>
            <w:pPr>
              <w:spacing w:line="300" w:lineRule="exact"/>
              <w:jc w:val="left"/>
              <w:rPr>
                <w:rFonts w:ascii="仿宋" w:eastAsia="仿宋" w:hint="eastAsia"/>
                <w:b/>
                <w:sz w:val="21"/>
                <w:szCs w:val="21"/>
              </w:rPr>
            </w:pPr>
            <w:r>
              <w:rPr>
                <w:rFonts w:ascii="仿宋" w:eastAsia="仿宋" w:hint="eastAsia"/>
                <w:b/>
                <w:sz w:val="21"/>
                <w:szCs w:val="21"/>
              </w:rPr>
              <w:t xml:space="preserve">5、治安联防和铁路护路队员执勤巡防     </w:t>
            </w:r>
          </w:p>
          <w:p>
            <w:pPr>
              <w:spacing w:line="300" w:lineRule="exact"/>
              <w:jc w:val="left"/>
              <w:rPr>
                <w:rFonts w:ascii="仿宋" w:eastAsia="仿宋" w:hint="eastAsia"/>
                <w:b/>
                <w:sz w:val="21"/>
                <w:szCs w:val="21"/>
              </w:rPr>
            </w:pPr>
            <w:r>
              <w:rPr>
                <w:rFonts w:ascii="仿宋" w:eastAsia="仿宋" w:hint="eastAsia"/>
                <w:b/>
                <w:sz w:val="21"/>
                <w:szCs w:val="21"/>
              </w:rPr>
              <w:t>6、全市政</w:t>
            </w:r>
          </w:p>
        </w:tc>
        <w:tc>
          <w:tcPr>
            <w:tcW w:w="12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260.00</w:t>
            </w:r>
          </w:p>
        </w:tc>
        <w:tc>
          <w:tcPr>
            <w:tcW w:w="2976" w:type="dxa"/>
            <w:tcBorders>
              <w:tl2br w:val="nil"/>
              <w:tr2bl w:val="nil"/>
            </w:tcBorders>
            <w:shd w:val="clear" w:color="auto" w:fill="auto"/>
            <w:vAlign w:val="center"/>
          </w:tcPr>
          <w:p>
            <w:pPr>
              <w:spacing w:line="300" w:lineRule="exact"/>
              <w:ind w:left="0" w:hanging="12"/>
              <w:rPr>
                <w:rFonts w:ascii="仿宋" w:eastAsia="仿宋" w:hint="eastAsia"/>
                <w:sz w:val="21"/>
                <w:szCs w:val="21"/>
              </w:rPr>
            </w:pPr>
            <w:r>
              <w:rPr>
                <w:rFonts w:ascii="仿宋" w:eastAsia="仿宋" w:hint="eastAsia"/>
                <w:sz w:val="21"/>
                <w:szCs w:val="21"/>
              </w:rPr>
              <w:t xml:space="preserve">1、利用各项媒体、采取多种宣传方式进行政法综治宣。2、在全市政法系统开展业务培训和理论学习培训。3、元旦、春节、全国两会及暑期期间以及各敏感时期，检查全市政法系统值班备勤和慰问。4、开展平安志愿者服务活动印制红袖标、太阳伞、安保防爆设备器材等。5、治安联防和铁路护路队员执勤巡防设备、服装、防暑防蚊等用品。6、组织抽查全市各县（区）政法部门2014年以来办理的刑事、民事、行政、治安等各类型案件，检查执法办案质量，了解掌握政法机关严格执法公正司法现状，着重发现执法司法普遍性和苗头性问题，组织制定整改措施。     </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打击、防范、管理、控制等各项措施的落实，有效掌控各类影响社会安全稳定的矛盾纠纷，消除各类治安和安全隐患，全市社会大局稳定。扎实开展群防群治活动，努力打造平安城市、平安社区活动。</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加强和创新社会管理工作</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50.00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坚持以科学发展观为统领，践行以人为本、执政为民理念，全面贯彻落实中央、省关于加强和创新社会管理的一系列决策部署，切实加强社会管理制度、体制、机制和能力建设，最大限度激发社会活力、最大限度增加和谐因素、最大限度减少不和谐因素。</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维护国家安全和社会政治稳定能力明显提高，打击违法犯罪效能明显提高，社会治安防控水平明显提高，应急处置和矛盾纠纷排查化解能力明显提高，人民群众的安全感明显提高。刑事案件特别是八大类严重暴力犯罪案件、多发性侵财犯罪发案率逐步下降；经济犯罪案件数及造成的危害和损失逐步下降；因矛盾纠纷引发的重大群体性事件数量逐步下降；进京赴省访、集体访等异常访数量逐步下降；火灾、交通和危险品引发的重大事故数量以及造成的人员伤亡、经济损失逐步下降。严防在全国、全省、全市造成重大影响的人员伤亡和巨大经济损失的恶性案件及治安事故；严防在全国、全省、全市造成恶劣影响的暴力恐怖犯罪和涉黑涉恶团伙犯罪案件；严防在敏感时期、重大活动中发生重大事故。</w:t>
            </w:r>
          </w:p>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cantSplit/>
          <w:trHeight w:val="609"/>
        </w:trPr>
        <w:tc>
          <w:tcPr>
            <w:tcW w:w="2341" w:type="dxa"/>
            <w:vMerge w:val="restart"/>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xml:space="preserve">　　"1、推进全市司法公开工作     </w:t>
            </w:r>
          </w:p>
          <w:p>
            <w:pPr>
              <w:spacing w:line="300" w:lineRule="exact"/>
              <w:jc w:val="left"/>
              <w:rPr>
                <w:rFonts w:ascii="仿宋" w:eastAsia="仿宋" w:hint="eastAsia"/>
                <w:b/>
                <w:sz w:val="21"/>
                <w:szCs w:val="21"/>
              </w:rPr>
            </w:pPr>
            <w:r>
              <w:rPr>
                <w:rFonts w:ascii="仿宋" w:eastAsia="仿宋" w:hint="eastAsia"/>
                <w:b/>
                <w:sz w:val="21"/>
                <w:szCs w:val="21"/>
              </w:rPr>
              <w:t xml:space="preserve">2、开展护路联防     </w:t>
            </w:r>
          </w:p>
          <w:p>
            <w:pPr>
              <w:spacing w:line="300" w:lineRule="exact"/>
              <w:jc w:val="left"/>
              <w:rPr>
                <w:rFonts w:ascii="仿宋" w:eastAsia="仿宋" w:hint="eastAsia"/>
                <w:b/>
                <w:sz w:val="21"/>
                <w:szCs w:val="21"/>
              </w:rPr>
            </w:pPr>
            <w:r>
              <w:rPr>
                <w:rFonts w:ascii="仿宋" w:eastAsia="仿宋" w:hint="eastAsia"/>
                <w:b/>
                <w:sz w:val="21"/>
                <w:szCs w:val="21"/>
              </w:rPr>
              <w:t xml:space="preserve">3、暑期期间到北戴河涉法涉诉信访工作     </w:t>
            </w:r>
          </w:p>
          <w:p>
            <w:pPr>
              <w:spacing w:line="300" w:lineRule="exact"/>
              <w:jc w:val="left"/>
              <w:rPr>
                <w:rFonts w:ascii="仿宋" w:eastAsia="仿宋" w:hint="eastAsia"/>
                <w:b/>
                <w:sz w:val="21"/>
                <w:szCs w:val="21"/>
              </w:rPr>
            </w:pPr>
            <w:r>
              <w:rPr>
                <w:rFonts w:ascii="仿宋" w:eastAsia="仿宋" w:hint="eastAsia"/>
                <w:b/>
                <w:sz w:val="21"/>
                <w:szCs w:val="21"/>
              </w:rPr>
              <w:t xml:space="preserve">4、推进法治秦皇岛建设     </w:t>
            </w:r>
          </w:p>
          <w:p>
            <w:pPr>
              <w:spacing w:line="300" w:lineRule="exact"/>
              <w:jc w:val="left"/>
              <w:rPr>
                <w:rFonts w:ascii="仿宋" w:eastAsia="仿宋" w:hint="eastAsia"/>
                <w:b/>
                <w:sz w:val="21"/>
                <w:szCs w:val="21"/>
              </w:rPr>
            </w:pPr>
            <w:r>
              <w:rPr>
                <w:rFonts w:ascii="仿宋" w:eastAsia="仿宋" w:hint="eastAsia"/>
                <w:b/>
                <w:sz w:val="21"/>
                <w:szCs w:val="21"/>
              </w:rPr>
              <w:t>"</w:t>
            </w:r>
          </w:p>
        </w:tc>
        <w:tc>
          <w:tcPr>
            <w:tcW w:w="1276" w:type="dxa"/>
            <w:vMerge w:val="restart"/>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50.00</w:t>
            </w:r>
          </w:p>
        </w:tc>
        <w:tc>
          <w:tcPr>
            <w:tcW w:w="29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 xml:space="preserve">"1、司法工作工作的推进和宣传，培养典型、推广经验、宣传司法公开成果以及便民措施。2、加强护路联防队伍建设和管理，护路队员执勤和安保设备。3、暑期期间到北戴河涉法涉诉信访工作人员住宿费。4、市委市政府成立了法治秦皇岛领导小组和办公室，推进法治秦皇岛各项工作开展，办公经费支出。    </w:t>
            </w:r>
          </w:p>
          <w:p>
            <w:pPr>
              <w:spacing w:line="300" w:lineRule="exact"/>
              <w:jc w:val="left"/>
              <w:rPr>
                <w:rFonts w:ascii="仿宋" w:eastAsia="仿宋" w:hint="eastAsia"/>
                <w:sz w:val="21"/>
                <w:szCs w:val="21"/>
              </w:rPr>
            </w:pPr>
            <w:r>
              <w:rPr>
                <w:rFonts w:ascii="仿宋" w:eastAsia="仿宋" w:hint="eastAsia"/>
                <w:sz w:val="21"/>
                <w:szCs w:val="21"/>
              </w:rPr>
              <w:t>"</w:t>
            </w:r>
          </w:p>
          <w:p>
            <w:pPr>
              <w:spacing w:line="300" w:lineRule="exact"/>
              <w:jc w:val="left"/>
              <w:rPr>
                <w:rFonts w:ascii="仿宋" w:eastAsia="仿宋" w:hint="eastAsia"/>
                <w:sz w:val="21"/>
                <w:szCs w:val="21"/>
              </w:rPr>
            </w:pPr>
          </w:p>
        </w:tc>
        <w:tc>
          <w:tcPr>
            <w:tcW w:w="29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1、实现公平正义、提升司法公信的重要程序制度。全面深化司法公开，努力实现阳光司法，保障当事人诉讼权利、展示社会主义法治文明和新媒体时代满足人民群众对司法工作新期待的必然要求。2、制定突发事件应急预案，防止人为因素造成的非正常损失，强化铁路沿线的治安管理，保持辖区铁路沿线治安秩序持续稳定。3、解决和处置涉法、涉诉信访问题，服务群众，维护社会政法稳定。4、把法治秦皇岛建设的重点任务落到实处，提高党委依法执政水平，推进各级政府依法行政，保障各类市场主体依法经营，促进各级司法机关公正司法，营造全社会崇尚法治的良</w:t>
            </w:r>
          </w:p>
        </w:tc>
        <w:tc>
          <w:tcPr>
            <w:tcW w:w="1417"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加强社会管理制度、体制、机制和能力建设，最大限度激发社会活力、最大限度增加和谐因素、最大限度减少不和谐因素。</w:t>
            </w:r>
          </w:p>
        </w:tc>
        <w:tc>
          <w:tcPr>
            <w:tcW w:w="737" w:type="dxa"/>
            <w:vMerge w:val="restart"/>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r>
        <w:trPr>
          <w:cantSplit/>
          <w:trHeight w:val="5404"/>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vMerge/>
            <w:tcBorders>
              <w:tl2br w:val="nil"/>
              <w:tr2bl w:val="nil"/>
            </w:tcBorders>
            <w:shd w:val="clear" w:color="auto" w:fill="auto"/>
            <w:vAlign w:val="center"/>
          </w:tcPr>
          <w:p/>
        </w:tc>
        <w:tc>
          <w:tcPr>
            <w:tcW w:w="737" w:type="dxa"/>
            <w:vMerg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全市维护稳定和司法救助工作</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170.00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社会维稳经费对于创造和谐稳定的社会环境、确保广大人民群众安居乐业提供有力保证，为国家的经济建设和改革开放创造有利条件。司法救助资金开展国家法救助是中国特色社会主义司法制度的内在要求，是改善民生、健全社会保障体系的重要组成部分。</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维稳和司法救助经费项目在党委、政府统一领导下，以完善和创新维护稳定工作体制机制为动力，以解决影响社会稳定的源头性 、根本性 、基础性问题为着力点，化解不安定因素，维护社会治安持续稳定的一项系统工程。主要目标是：维护社会稳定，化解社会矛盾, 切实营造和谐稳定的社会环境，为国家的经济建设和改革开放创造有利条件。有效维护当事人合法权益，帮助受害人摆脱生活困境，解决困难群众燃眉之急，及时化解矛盾纠纷，促进全市社会的和谐稳定。</w:t>
            </w:r>
          </w:p>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cantSplit/>
          <w:trHeight w:val="226"/>
        </w:trPr>
        <w:tc>
          <w:tcPr>
            <w:tcW w:w="2341" w:type="dxa"/>
            <w:vMerge w:val="restart"/>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xml:space="preserve">　　"1、有效维护当事人合法权益，帮助受害人摆脱生活困境，解决困难群众燃眉之急，及时化解矛盾纠纷，促进全市社会的和谐稳定。     </w:t>
            </w:r>
          </w:p>
          <w:p>
            <w:pPr>
              <w:spacing w:line="300" w:lineRule="exact"/>
              <w:jc w:val="left"/>
              <w:rPr>
                <w:rFonts w:ascii="仿宋" w:eastAsia="仿宋" w:hint="eastAsia"/>
                <w:b/>
                <w:sz w:val="21"/>
                <w:szCs w:val="21"/>
              </w:rPr>
            </w:pPr>
            <w:r>
              <w:rPr>
                <w:rFonts w:ascii="仿宋" w:eastAsia="仿宋" w:hint="eastAsia"/>
                <w:b/>
                <w:sz w:val="21"/>
                <w:szCs w:val="21"/>
              </w:rPr>
              <w:t>2、反恐防暴演练，健全以公安专业队伍为骨干、基层队伍为基础、志愿者队伍</w:t>
            </w:r>
          </w:p>
        </w:tc>
        <w:tc>
          <w:tcPr>
            <w:tcW w:w="12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170.00</w:t>
            </w:r>
          </w:p>
        </w:tc>
        <w:tc>
          <w:tcPr>
            <w:tcW w:w="29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 xml:space="preserve">"1、为全市符合救助条件的当事人拨付国家司法救助资金。2、在学校、商场等场所开展反恐防暴演练活动。3、购置防恐及处理突发性事件安保、防火、防暴设备。4、暑期北戴河处置突发和群体性事件人员住宿费。5、两节、两会及各敏感时期处理我市及赴北京、省处置涉法涉诉信访案件。6、对“法轮功”等邪教组织的打击，依法加强宗教活动管理。7、社会稳定风险评估工作。8、建立信息资料数据库，形成教育、稳控和打击的有效衔接。9、随时掌握网络舆情动态，有效及时处置，开展宣传和处置工作。  </w:t>
            </w:r>
          </w:p>
          <w:p>
            <w:pPr>
              <w:spacing w:line="300" w:lineRule="exact"/>
              <w:jc w:val="left"/>
              <w:rPr>
                <w:rFonts w:ascii="仿宋" w:eastAsia="仿宋" w:hint="eastAsia"/>
                <w:sz w:val="21"/>
                <w:szCs w:val="21"/>
              </w:rPr>
            </w:pPr>
            <w:r>
              <w:rPr>
                <w:rFonts w:ascii="仿宋" w:eastAsia="仿宋" w:hint="eastAsia"/>
                <w:sz w:val="21"/>
                <w:szCs w:val="21"/>
              </w:rPr>
              <w:t>"</w:t>
            </w:r>
          </w:p>
          <w:p>
            <w:pPr>
              <w:spacing w:line="300" w:lineRule="exact"/>
              <w:jc w:val="left"/>
              <w:rPr>
                <w:rFonts w:ascii="仿宋" w:eastAsia="仿宋" w:hint="eastAsia"/>
                <w:sz w:val="21"/>
                <w:szCs w:val="21"/>
              </w:rPr>
            </w:pPr>
          </w:p>
        </w:tc>
        <w:tc>
          <w:tcPr>
            <w:tcW w:w="29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 xml:space="preserve">维护社会稳定，化解社会矛盾, 切实营造和谐稳定的社会环境，为国家的经济建设和改革开放创造有利条件。有效维护当事人合法权益，帮助受害人摆脱生活困境，解决困难群众燃眉之急，及时化解矛盾纠纷，促进全市社会的和谐稳定。维护当事人合法权益，帮助受害人摆脱生活困境，解决困难群众燃眉之急，及时化解矛盾纠纷，促进全市社会的和谐稳定。  </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r>
        <w:trPr>
          <w:cantSplit/>
          <w:trHeight w:val="226"/>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cantSplit/>
          <w:trHeight w:val="226"/>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全市见义勇为工作</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30.00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根据《河北省奖励和保护见义勇为人员条例》，充分调动和激励我市群众参与与维护社会治安的积极性、主动性和自觉性，健全广大人民群众同违法犯罪分子作斗争的激励机制和社会保障机制，不断强化平安建设和社会治安综合治理的根基，实现社会的长治久安。</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开展深入社区、学校、企业、单位宣传见义勇为，发动群众，宣传见义勇为，弘扬人间正气；向群众宣传见义勇为，提供法律保障；利用报纸、广播电视、报告会、印发宣传资料等形式，大力宣传《河北省奖励和保护见义勇为人员条例》，大力弘扬见义勇为正气，在全社会逐步形成人人关心、支持、参与见义勇为事业的浓厚氛围。组织《河北省奖励和保护见义勇为人员条例》宣传教育活动。在城市主要街道、火车站、商业区进行见义勇为的宣传，弘扬见义勇正气。</w:t>
            </w:r>
          </w:p>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cantSplit/>
          <w:trHeight w:val="227"/>
        </w:trPr>
        <w:tc>
          <w:tcPr>
            <w:tcW w:w="2341" w:type="dxa"/>
            <w:vMerge w:val="restart"/>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xml:space="preserve">　　"1、见义勇为工作宣传     </w:t>
            </w:r>
          </w:p>
          <w:p>
            <w:pPr>
              <w:spacing w:line="300" w:lineRule="exact"/>
              <w:jc w:val="left"/>
              <w:rPr>
                <w:rFonts w:ascii="仿宋" w:eastAsia="仿宋" w:hint="eastAsia"/>
                <w:b/>
                <w:sz w:val="21"/>
                <w:szCs w:val="21"/>
              </w:rPr>
            </w:pPr>
            <w:r>
              <w:rPr>
                <w:rFonts w:ascii="仿宋" w:eastAsia="仿宋" w:hint="eastAsia"/>
                <w:b/>
                <w:sz w:val="21"/>
                <w:szCs w:val="21"/>
              </w:rPr>
              <w:t xml:space="preserve">2、见义勇为先进个人表彰、慰问     </w:t>
            </w:r>
          </w:p>
          <w:p>
            <w:pPr>
              <w:spacing w:line="300" w:lineRule="exact"/>
              <w:jc w:val="left"/>
              <w:rPr>
                <w:rFonts w:ascii="仿宋" w:eastAsia="仿宋" w:hint="eastAsia"/>
                <w:b/>
                <w:sz w:val="21"/>
                <w:szCs w:val="21"/>
              </w:rPr>
            </w:pPr>
            <w:r>
              <w:rPr>
                <w:rFonts w:ascii="仿宋" w:eastAsia="仿宋" w:hint="eastAsia"/>
                <w:b/>
                <w:sz w:val="21"/>
                <w:szCs w:val="21"/>
              </w:rPr>
              <w:t xml:space="preserve">    </w:t>
            </w:r>
          </w:p>
          <w:p>
            <w:pPr>
              <w:spacing w:line="300" w:lineRule="exact"/>
              <w:jc w:val="left"/>
              <w:rPr>
                <w:rFonts w:ascii="仿宋" w:eastAsia="仿宋" w:hint="eastAsia"/>
                <w:b/>
                <w:sz w:val="21"/>
                <w:szCs w:val="21"/>
              </w:rPr>
            </w:pPr>
            <w:r>
              <w:rPr>
                <w:rFonts w:ascii="仿宋" w:eastAsia="仿宋" w:hint="eastAsia"/>
                <w:b/>
                <w:sz w:val="21"/>
                <w:szCs w:val="21"/>
              </w:rPr>
              <w:t xml:space="preserve">    </w:t>
            </w:r>
          </w:p>
          <w:p>
            <w:pPr>
              <w:spacing w:line="300" w:lineRule="exact"/>
              <w:jc w:val="left"/>
              <w:rPr>
                <w:rFonts w:ascii="仿宋" w:eastAsia="仿宋" w:hint="eastAsia"/>
                <w:b/>
                <w:sz w:val="21"/>
                <w:szCs w:val="21"/>
              </w:rPr>
            </w:pPr>
            <w:r>
              <w:rPr>
                <w:rFonts w:ascii="仿宋" w:eastAsia="仿宋" w:hint="eastAsia"/>
                <w:b/>
                <w:sz w:val="21"/>
                <w:szCs w:val="21"/>
              </w:rPr>
              <w:t>"</w:t>
            </w:r>
          </w:p>
        </w:tc>
        <w:tc>
          <w:tcPr>
            <w:tcW w:w="12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30.00</w:t>
            </w:r>
          </w:p>
        </w:tc>
        <w:tc>
          <w:tcPr>
            <w:tcW w:w="29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 xml:space="preserve">"1、采取多种形式大力宣传见义勇为工作，宣传、广告费。2、向见义勇为先进个人进行表彰慰问。    </w:t>
            </w:r>
          </w:p>
          <w:p>
            <w:pPr>
              <w:spacing w:line="300" w:lineRule="exact"/>
              <w:jc w:val="left"/>
              <w:rPr>
                <w:rFonts w:ascii="仿宋" w:eastAsia="仿宋" w:hint="eastAsia"/>
                <w:sz w:val="21"/>
                <w:szCs w:val="21"/>
              </w:rPr>
            </w:pPr>
            <w:r>
              <w:rPr>
                <w:rFonts w:ascii="仿宋" w:eastAsia="仿宋" w:hint="eastAsia"/>
                <w:sz w:val="21"/>
                <w:szCs w:val="21"/>
              </w:rPr>
              <w:t>"</w:t>
            </w:r>
          </w:p>
          <w:p>
            <w:pPr>
              <w:spacing w:line="300" w:lineRule="exact"/>
              <w:jc w:val="left"/>
              <w:rPr>
                <w:rFonts w:ascii="仿宋" w:eastAsia="仿宋" w:hint="eastAsia"/>
                <w:sz w:val="21"/>
                <w:szCs w:val="21"/>
              </w:rPr>
            </w:pPr>
          </w:p>
        </w:tc>
        <w:tc>
          <w:tcPr>
            <w:tcW w:w="29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健全广大人民群众同违法犯罪分子作斗争的激励机制和社会保障机制，不断强化平安建设和社会治安综合治理的根基，实现社会的长治久安。</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r>
        <w:trPr>
          <w:cantSplit/>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政法队伍建设，为政法干警购买人身意外保险</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37.00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随着为各级政法干警购买人身意外伤害保险政策的正式实施，将充分调动各级政法干警的积极性，更好的集中精力投入各项政法工作，为全市经济发展和社会和谐稳定做出更大的贡献。</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p>
          <w:p>
            <w:pPr>
              <w:spacing w:line="300" w:lineRule="exact"/>
              <w:jc w:val="left"/>
              <w:rPr>
                <w:rFonts w:ascii="仿宋" w:eastAsia="仿宋" w:hint="eastAsia"/>
                <w:sz w:val="21"/>
                <w:szCs w:val="21"/>
              </w:rPr>
            </w:pPr>
            <w:r>
              <w:rPr>
                <w:rFonts w:ascii="仿宋" w:eastAsia="仿宋" w:hint="eastAsia"/>
                <w:sz w:val="21"/>
                <w:szCs w:val="21"/>
              </w:rPr>
              <w:t>为政法干警购买人身意外伤害保险政策的出台，是对全市现行民警抚恤优待政策的有力补充，是加强政法队伍建设、落实从优待警政策的具体措施。</w:t>
            </w: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cantSplit/>
          <w:trHeight w:val="227"/>
        </w:trPr>
        <w:tc>
          <w:tcPr>
            <w:tcW w:w="2341" w:type="dxa"/>
            <w:vMerge w:val="restart"/>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为政法干警购买人身意外伤害保险</w:t>
            </w:r>
          </w:p>
        </w:tc>
        <w:tc>
          <w:tcPr>
            <w:tcW w:w="1276" w:type="dxa"/>
            <w:vMerge w:val="restart"/>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37.00</w:t>
            </w:r>
          </w:p>
        </w:tc>
        <w:tc>
          <w:tcPr>
            <w:tcW w:w="29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政法干警购买人身意外伤害保险</w:t>
            </w:r>
          </w:p>
        </w:tc>
        <w:tc>
          <w:tcPr>
            <w:tcW w:w="2976" w:type="dxa"/>
            <w:vMerge w:val="restart"/>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将充分调动各级政法干警的积极性，更好的集中精力投入各项政法工作，为全市经济发展和社会和谐稳定做出更大的贡献。</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r>
        <w:trPr>
          <w:cantSplit/>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政法信息网络建设</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170.00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应对政法工作面临新挑战、新要求，解决影响和制约政法综治工作实际问题，提升政法工作和社会治安综合治理现代化水平，维护社会稳定。</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政法视频终端可快速指导督促政法各部门贯彻执行中共的路线、方针、政策和上级的指示及同级党委、政府的工作部署，统一政法各部门的思想和行动，政法内网逐步实现内部办公自动化，实现信息资源互通共享。</w:t>
            </w:r>
          </w:p>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xml:space="preserve">　　1、政法网络运行维护     </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170.00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1、政法网络维护。保证政法网络软硬件运行稳定。2、光纤铺设、节点熔接、断点维修。3、光纤铺设、节点熔接、断点维修</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 xml:space="preserve">1、政法网络的政法视频会议终端畅通、政法内网稳定运行。     </w:t>
            </w: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提升政法工作和社会治安综合治理现代化水平，维护社会稳定</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“三位一体”调解工作</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60.00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“三位一体”调解工作体系，加强和完善社会治安综合治理工作机制的具体举措，矛盾纠纷排查调处工作在新时期的新发展。针对当前严峻复杂的形势，进一步深化“三位一体”调解工作，深入推进平安建设。</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在党委的统一领导下，通过整合调解资源，建立综治部门协调，人民群众和政府有关职能部门、司法机关为主体，乡镇（街道）为重点，以人民调解为基础，人民调解、行政调解、司法调解既充分发挥作用，又相互衔接配合，综合运用多种手段化解社会矛盾纠纷的工作机制。</w:t>
            </w:r>
          </w:p>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"1、 三位一体规范化建设</w:t>
            </w:r>
          </w:p>
          <w:p>
            <w:pPr>
              <w:spacing w:line="300" w:lineRule="exact"/>
              <w:jc w:val="left"/>
              <w:rPr>
                <w:rFonts w:ascii="仿宋" w:eastAsia="仿宋" w:hint="eastAsia"/>
                <w:b/>
                <w:sz w:val="21"/>
                <w:szCs w:val="21"/>
              </w:rPr>
            </w:pPr>
            <w:r>
              <w:rPr>
                <w:rFonts w:ascii="仿宋" w:eastAsia="仿宋" w:hint="eastAsia"/>
                <w:b/>
                <w:sz w:val="21"/>
                <w:szCs w:val="21"/>
              </w:rPr>
              <w:t>2、 涉法涉诉接访及案件的处置</w:t>
            </w:r>
          </w:p>
          <w:p>
            <w:pPr>
              <w:spacing w:line="300" w:lineRule="exact"/>
              <w:jc w:val="left"/>
              <w:rPr>
                <w:rFonts w:ascii="仿宋" w:eastAsia="仿宋" w:hint="eastAsia"/>
                <w:b/>
                <w:sz w:val="21"/>
                <w:szCs w:val="21"/>
              </w:rPr>
            </w:pPr>
            <w:r>
              <w:rPr>
                <w:rFonts w:ascii="仿宋" w:eastAsia="仿宋" w:hint="eastAsia"/>
                <w:b/>
                <w:sz w:val="21"/>
                <w:szCs w:val="21"/>
              </w:rPr>
              <w:t>"</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60.00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1、 规范三位一体场所建设，方便服务群众，提供法律服务。</w:t>
            </w:r>
          </w:p>
          <w:p>
            <w:pPr>
              <w:spacing w:line="300" w:lineRule="exact"/>
              <w:jc w:val="left"/>
              <w:rPr>
                <w:rFonts w:ascii="仿宋" w:eastAsia="仿宋" w:hint="eastAsia"/>
                <w:sz w:val="21"/>
                <w:szCs w:val="21"/>
              </w:rPr>
            </w:pPr>
            <w:r>
              <w:rPr>
                <w:rFonts w:ascii="仿宋" w:eastAsia="仿宋" w:hint="eastAsia"/>
                <w:sz w:val="21"/>
                <w:szCs w:val="21"/>
              </w:rPr>
              <w:t>2、 化解处置涉法涉诉案件，化解矛盾纠纷、维护社会稳定。</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 xml:space="preserve"> “三位一体”调解机制构建社会主义和谐社会的基本方式，创新社会管理体制，整合社会管理资源，提高社会管理水平，解决涉法涉诉信访问题。</w:t>
            </w:r>
          </w:p>
        </w:tc>
        <w:tc>
          <w:tcPr>
            <w:tcW w:w="1417" w:type="dxa"/>
            <w:tcBorders>
              <w:tl2br w:val="nil"/>
              <w:tr2bl w:val="nil"/>
            </w:tcBorders>
            <w:shd w:val="clear" w:color="auto" w:fill="auto"/>
            <w:vAlign w:val="center"/>
          </w:tcPr>
          <w:p>
            <w:pPr>
              <w:spacing w:line="300" w:lineRule="exact"/>
              <w:ind w:left="0" w:hanging="9"/>
              <w:jc w:val="left"/>
              <w:rPr>
                <w:rFonts w:ascii="仿宋" w:eastAsia="仿宋" w:hint="eastAsia"/>
                <w:sz w:val="21"/>
                <w:szCs w:val="21"/>
              </w:rPr>
            </w:pPr>
            <w:r>
              <w:rPr>
                <w:rFonts w:ascii="仿宋" w:eastAsia="仿宋" w:hint="eastAsia"/>
                <w:sz w:val="21"/>
                <w:szCs w:val="21"/>
              </w:rPr>
              <w:t>在各级党委的统一领导下，建立综治部门综合协调，有关部门各负其责，以人民调解为基础，人民调解、行政调解、司法调解既充分发挥作用，又相互衔接配合，综合运用多种手段化解社会矛盾纠纷的工作机制。</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文职人员管理工作</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24.00</w:t>
            </w:r>
          </w:p>
        </w:tc>
        <w:tc>
          <w:tcPr>
            <w:tcW w:w="2976" w:type="dxa"/>
            <w:tcBorders>
              <w:tl2br w:val="nil"/>
              <w:tr2bl w:val="nil"/>
            </w:tcBorders>
            <w:shd w:val="clear" w:color="auto" w:fill="auto"/>
            <w:vAlign w:val="center"/>
          </w:tcPr>
          <w:p>
            <w:pPr>
              <w:spacing w:line="300" w:lineRule="exact"/>
              <w:rPr>
                <w:rFonts w:ascii="仿宋" w:eastAsia="仿宋" w:hint="eastAsia"/>
                <w:sz w:val="21"/>
                <w:szCs w:val="21"/>
              </w:rPr>
            </w:pPr>
            <w:r>
              <w:rPr>
                <w:rFonts w:ascii="仿宋" w:eastAsia="仿宋" w:hint="eastAsia"/>
                <w:sz w:val="21"/>
                <w:szCs w:val="21"/>
              </w:rPr>
              <w:t>政法部门担负的任务越来越繁重，政法系统法律专业人才严重短缺，《市委政法队伍建设及经费保障专题会议纪要》(纪要[2010]9号)提出用聘用文职等人员的办法缓解政法部门人力不足，保证各项政法工作的完成。</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理配置文职人员，缓解警力不足，使有限的警力从大量庞杂的非执法类事务性工作中真正解放出来，沉到一线。</w:t>
            </w:r>
          </w:p>
          <w:p>
            <w:pPr>
              <w:spacing w:line="300" w:lineRule="exact"/>
              <w:jc w:val="left"/>
              <w:rPr>
                <w:rFonts w:ascii="仿宋" w:eastAsia="仿宋" w:hint="eastAsia"/>
                <w:sz w:val="21"/>
                <w:szCs w:val="21"/>
              </w:rPr>
            </w:pP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文职人员管理工作</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24.00</w:t>
            </w:r>
          </w:p>
        </w:tc>
        <w:tc>
          <w:tcPr>
            <w:tcW w:w="2976" w:type="dxa"/>
            <w:tcBorders>
              <w:tl2br w:val="nil"/>
              <w:tr2bl w:val="nil"/>
            </w:tcBorders>
            <w:shd w:val="clear" w:color="auto" w:fill="auto"/>
            <w:vAlign w:val="center"/>
          </w:tcPr>
          <w:p>
            <w:pPr>
              <w:spacing w:line="300" w:lineRule="exact"/>
              <w:rPr>
                <w:rFonts w:ascii="仿宋" w:eastAsia="仿宋" w:hint="eastAsia"/>
                <w:sz w:val="21"/>
                <w:szCs w:val="21"/>
              </w:rPr>
            </w:pPr>
            <w:r>
              <w:rPr>
                <w:rFonts w:ascii="仿宋" w:eastAsia="仿宋" w:hint="eastAsia"/>
                <w:sz w:val="21"/>
                <w:szCs w:val="21"/>
              </w:rPr>
              <w:t>加强对文职人员的管理，建立了相对完善的配套制度，做好工资、保险、日常管理，提升文职队伍的战斗力，更好地服务政法工作。</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以提高政法机关行政效能、降低行政管理成本，缓解警力不足。</w:t>
            </w:r>
          </w:p>
        </w:tc>
        <w:tc>
          <w:tcPr>
            <w:tcW w:w="1417" w:type="dxa"/>
            <w:tcBorders>
              <w:tl2br w:val="nil"/>
              <w:tr2bl w:val="nil"/>
            </w:tcBorders>
            <w:shd w:val="clear" w:color="auto" w:fill="auto"/>
            <w:vAlign w:val="center"/>
          </w:tcPr>
          <w:p>
            <w:pPr>
              <w:spacing w:line="300" w:lineRule="exact"/>
              <w:ind w:left="0" w:hanging="9"/>
              <w:jc w:val="left"/>
              <w:rPr>
                <w:rFonts w:ascii="仿宋" w:eastAsia="仿宋" w:hint="eastAsia"/>
                <w:sz w:val="21"/>
                <w:szCs w:val="21"/>
              </w:rPr>
            </w:pPr>
            <w:r>
              <w:rPr>
                <w:rFonts w:ascii="仿宋" w:eastAsia="仿宋" w:hint="eastAsia"/>
                <w:sz w:val="21"/>
                <w:szCs w:val="21"/>
              </w:rPr>
              <w:t>加强对文职人员的管理教育，提高服务政法工作的能力水平</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出租房屋和流动人口综合管理工作</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93.00</w:t>
            </w:r>
          </w:p>
        </w:tc>
        <w:tc>
          <w:tcPr>
            <w:tcW w:w="2976" w:type="dxa"/>
            <w:tcBorders>
              <w:tl2br w:val="nil"/>
              <w:tr2bl w:val="nil"/>
            </w:tcBorders>
            <w:shd w:val="clear" w:color="auto" w:fill="auto"/>
            <w:vAlign w:val="center"/>
          </w:tcPr>
          <w:p>
            <w:pPr>
              <w:spacing w:line="300" w:lineRule="exact"/>
              <w:ind w:left="0" w:hanging="12"/>
              <w:rPr>
                <w:rFonts w:ascii="仿宋" w:eastAsia="仿宋" w:hint="eastAsia"/>
                <w:sz w:val="21"/>
                <w:szCs w:val="21"/>
              </w:rPr>
            </w:pPr>
            <w:r>
              <w:rPr>
                <w:rFonts w:ascii="仿宋" w:eastAsia="仿宋" w:hint="eastAsia"/>
                <w:sz w:val="21"/>
                <w:szCs w:val="21"/>
              </w:rPr>
              <w:t>出租房屋和流动人口管理</w:t>
            </w:r>
          </w:p>
        </w:tc>
        <w:tc>
          <w:tcPr>
            <w:tcW w:w="2976" w:type="dxa"/>
            <w:tcBorders>
              <w:tl2br w:val="nil"/>
              <w:tr2bl w:val="nil"/>
            </w:tcBorders>
            <w:shd w:val="clear" w:color="auto" w:fill="auto"/>
            <w:vAlign w:val="center"/>
          </w:tcPr>
          <w:p>
            <w:pPr>
              <w:spacing w:line="300" w:lineRule="exact"/>
              <w:rPr>
                <w:rFonts w:ascii="仿宋" w:eastAsia="仿宋" w:hint="eastAsia"/>
                <w:sz w:val="21"/>
                <w:szCs w:val="21"/>
              </w:rPr>
            </w:pPr>
            <w:r>
              <w:rPr>
                <w:rFonts w:ascii="仿宋" w:eastAsia="仿宋" w:hint="eastAsia"/>
                <w:sz w:val="21"/>
                <w:szCs w:val="21"/>
              </w:rPr>
              <w:t>维护社会稳定提高群众安全感和满意度</w:t>
            </w: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c>
          <w:tcPr>
            <w:tcW w:w="737" w:type="dxa"/>
            <w:tcBorders>
              <w:tl2br w:val="nil"/>
              <w:tr2bl w:val="nil"/>
            </w:tcBorders>
            <w:shd w:val="clear" w:color="auto" w:fill="auto"/>
            <w:vAlign w:val="center"/>
          </w:tcPr>
          <w:p>
            <w:pPr>
              <w:spacing w:line="300" w:lineRule="exact"/>
              <w:jc w:val="center"/>
              <w:rPr>
                <w:rFonts w:ascii="仿宋" w:eastAsia="仿宋" w:hint="eastAsia"/>
                <w:sz w:val="21"/>
                <w:szCs w:val="21"/>
              </w:rPr>
            </w:pPr>
          </w:p>
        </w:tc>
      </w:tr>
      <w:tr>
        <w:trPr>
          <w:trHeight w:val="227"/>
        </w:trPr>
        <w:tc>
          <w:tcPr>
            <w:tcW w:w="2341" w:type="dxa"/>
            <w:tcBorders>
              <w:tl2br w:val="nil"/>
              <w:tr2bl w:val="nil"/>
            </w:tcBorders>
            <w:shd w:val="clear" w:color="auto" w:fill="auto"/>
            <w:vAlign w:val="center"/>
          </w:tcPr>
          <w:p>
            <w:pPr>
              <w:spacing w:line="300" w:lineRule="exact"/>
              <w:jc w:val="left"/>
              <w:rPr>
                <w:rFonts w:ascii="仿宋" w:eastAsia="仿宋" w:hint="eastAsia"/>
                <w:b/>
                <w:sz w:val="21"/>
                <w:szCs w:val="21"/>
              </w:rPr>
            </w:pPr>
            <w:r>
              <w:rPr>
                <w:rFonts w:ascii="仿宋" w:eastAsia="仿宋" w:hint="eastAsia"/>
                <w:b/>
                <w:sz w:val="21"/>
                <w:szCs w:val="21"/>
              </w:rPr>
              <w:t>　　组织开展出租房屋和流动人口管理</w:t>
            </w:r>
          </w:p>
        </w:tc>
        <w:tc>
          <w:tcPr>
            <w:tcW w:w="1276" w:type="dxa"/>
            <w:tcBorders>
              <w:tl2br w:val="nil"/>
              <w:tr2bl w:val="nil"/>
            </w:tcBorders>
            <w:shd w:val="clear" w:color="auto" w:fill="auto"/>
            <w:vAlign w:val="center"/>
          </w:tcPr>
          <w:p>
            <w:pPr>
              <w:spacing w:line="300" w:lineRule="exact"/>
              <w:ind w:left="0" w:hanging="11"/>
              <w:jc w:val="left"/>
              <w:rPr>
                <w:rFonts w:ascii="仿宋" w:eastAsia="仿宋" w:hint="eastAsia"/>
                <w:sz w:val="21"/>
                <w:szCs w:val="21"/>
              </w:rPr>
            </w:pPr>
            <w:r>
              <w:rPr>
                <w:rFonts w:ascii="仿宋" w:eastAsia="仿宋" w:hint="eastAsia"/>
                <w:sz w:val="21"/>
                <w:szCs w:val="21"/>
              </w:rPr>
              <w:t>93.00</w:t>
            </w:r>
          </w:p>
        </w:tc>
        <w:tc>
          <w:tcPr>
            <w:tcW w:w="2976"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对暂住、重点人口和出租房屋进行管理</w:t>
            </w:r>
          </w:p>
          <w:p>
            <w:pPr>
              <w:spacing w:line="300" w:lineRule="exact"/>
              <w:jc w:val="left"/>
              <w:rPr>
                <w:rFonts w:ascii="仿宋" w:eastAsia="仿宋" w:hint="eastAsia"/>
                <w:sz w:val="21"/>
                <w:szCs w:val="21"/>
              </w:rPr>
            </w:pPr>
          </w:p>
        </w:tc>
        <w:tc>
          <w:tcPr>
            <w:tcW w:w="2976" w:type="dxa"/>
            <w:tcBorders>
              <w:tl2br w:val="nil"/>
              <w:tr2bl w:val="nil"/>
            </w:tcBorders>
            <w:shd w:val="clear" w:color="auto" w:fill="auto"/>
            <w:vAlign w:val="center"/>
          </w:tcPr>
          <w:p>
            <w:pPr>
              <w:spacing w:line="300" w:lineRule="exact"/>
              <w:ind w:left="0" w:hanging="3"/>
              <w:jc w:val="left"/>
              <w:rPr>
                <w:rFonts w:ascii="仿宋" w:eastAsia="仿宋" w:hint="eastAsia"/>
                <w:sz w:val="21"/>
                <w:szCs w:val="21"/>
              </w:rPr>
            </w:pPr>
            <w:r>
              <w:rPr>
                <w:rFonts w:ascii="仿宋" w:eastAsia="仿宋" w:hint="eastAsia"/>
                <w:sz w:val="21"/>
                <w:szCs w:val="21"/>
              </w:rPr>
              <w:t>通过信息采集、登记等手段，加强对暂住、重点人口和出租房屋的管理，掌握底数和变化情况</w:t>
            </w:r>
          </w:p>
        </w:tc>
        <w:tc>
          <w:tcPr>
            <w:tcW w:w="1417" w:type="dxa"/>
            <w:tcBorders>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户口登记项目准确率</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90-100</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80-89</w:t>
            </w:r>
          </w:p>
        </w:tc>
        <w:tc>
          <w:tcPr>
            <w:tcW w:w="737" w:type="dxa"/>
            <w:tcBorders>
              <w:tl2br w:val="nil"/>
              <w:tr2bl w:val="nil"/>
            </w:tcBorders>
            <w:shd w:val="clear" w:color="auto" w:fill="auto"/>
            <w:vAlign w:val="center"/>
          </w:tcPr>
          <w:p>
            <w:pPr>
              <w:spacing w:after="0" w:line="259" w:lineRule="auto"/>
              <w:ind w:right="51" w:firstLine="0"/>
              <w:jc w:val="center"/>
              <w:rPr>
                <w:rFonts w:ascii="仿宋" w:eastAsia="仿宋" w:cs="仿宋"/>
                <w:sz w:val="15"/>
                <w:szCs w:val="15"/>
              </w:rPr>
            </w:pPr>
            <w:r>
              <w:rPr>
                <w:rFonts w:ascii="仿宋" w:eastAsia="仿宋" w:cs="仿宋"/>
                <w:sz w:val="15"/>
                <w:szCs w:val="15"/>
              </w:rPr>
              <w:t>60-79</w:t>
            </w:r>
          </w:p>
        </w:tc>
        <w:tc>
          <w:tcPr>
            <w:tcW w:w="737" w:type="dxa"/>
            <w:tcBorders>
              <w:tl2br w:val="nil"/>
              <w:tr2bl w:val="nil"/>
            </w:tcBorders>
            <w:shd w:val="clear" w:color="auto" w:fill="auto"/>
            <w:vAlign w:val="center"/>
          </w:tcPr>
          <w:p>
            <w:pPr>
              <w:spacing w:after="0" w:line="259" w:lineRule="auto"/>
              <w:ind w:right="50" w:firstLine="0"/>
              <w:jc w:val="center"/>
              <w:rPr>
                <w:rFonts w:ascii="仿宋" w:eastAsia="仿宋" w:cs="Times New Roman"/>
                <w:sz w:val="15"/>
                <w:szCs w:val="15"/>
              </w:rPr>
            </w:pPr>
            <w:r>
              <w:rPr>
                <w:rFonts w:ascii="仿宋" w:eastAsia="仿宋" w:cs="仿宋"/>
                <w:sz w:val="15"/>
                <w:szCs w:val="15"/>
              </w:rPr>
              <w:t>60</w:t>
            </w:r>
            <w:r>
              <w:rPr>
                <w:rFonts w:ascii="仿宋" w:eastAsia="仿宋" w:cs="仿宋" w:hint="eastAsia"/>
                <w:sz w:val="15"/>
                <w:szCs w:val="15"/>
              </w:rPr>
              <w:t>以下</w:t>
            </w:r>
          </w:p>
        </w:tc>
      </w:tr>
    </w:tbl>
    <w:p>
      <w:pPr>
        <w:spacing w:after="218" w:line="259" w:lineRule="auto"/>
        <w:ind w:firstLine="0"/>
        <w:rPr>
          <w:rFonts w:ascii="仿宋" w:eastAsia="仿宋" w:cs="Times New Roman"/>
          <w:b/>
          <w:szCs w:val="32"/>
        </w:rPr>
      </w:pPr>
      <w:r>
        <w:rPr>
          <w:rFonts w:ascii="仿宋" w:eastAsia="仿宋" w:cs="Times New Roman"/>
          <w:szCs w:val="32"/>
        </w:rPr>
        <w:t xml:space="preserve"> </w:t>
      </w:r>
      <w:r>
        <w:rPr>
          <w:rFonts w:ascii="仿宋" w:eastAsia="仿宋" w:cs="Times New Roman" w:hint="eastAsia"/>
          <w:szCs w:val="32"/>
        </w:rPr>
        <w:t xml:space="preserve">      </w:t>
      </w:r>
      <w:r>
        <w:rPr>
          <w:rFonts w:ascii="仿宋" w:eastAsia="仿宋" w:cs="Times New Roman" w:hint="eastAsia"/>
          <w:b/>
          <w:szCs w:val="32"/>
        </w:rPr>
        <w:t xml:space="preserve"> 六、政府采购预算情况</w:t>
      </w:r>
    </w:p>
    <w:p>
      <w:pPr>
        <w:spacing w:after="218" w:line="259" w:lineRule="auto"/>
        <w:ind w:firstLineChars="200" w:firstLine="640"/>
        <w:rPr>
          <w:rFonts w:ascii="仿宋" w:eastAsia="仿宋" w:cs="Times New Roman"/>
          <w:szCs w:val="32"/>
          <w:bdr w:val="none" w:sz="0" w:space="0" w:color="auto"/>
        </w:rPr>
      </w:pPr>
      <w:r>
        <w:rPr>
          <w:rFonts w:ascii="仿宋" w:eastAsia="仿宋" w:cs="Times New Roman"/>
          <w:szCs w:val="32"/>
          <w:bdr w:val="none" w:sz="0" w:space="0" w:color="auto"/>
        </w:rPr>
        <w:t>2017 年，秦皇岛市委政法委</w:t>
      </w:r>
      <w:r>
        <w:rPr>
          <w:rFonts w:ascii="仿宋" w:eastAsia="仿宋" w:cs="Times New Roman" w:hint="eastAsia"/>
          <w:szCs w:val="32"/>
          <w:bdr w:val="none" w:sz="0" w:space="0" w:color="auto"/>
        </w:rPr>
        <w:t>部门</w:t>
      </w:r>
      <w:r>
        <w:rPr>
          <w:rFonts w:ascii="仿宋" w:eastAsia="仿宋" w:cs="Times New Roman"/>
          <w:szCs w:val="32"/>
          <w:bdr w:val="none" w:sz="0" w:space="0" w:color="auto"/>
        </w:rPr>
        <w:t>安排政府采购预算377 万元。具体内容见下表。</w:t>
      </w:r>
    </w:p>
    <w:p>
      <w:pPr>
        <w:spacing w:after="50" w:line="259" w:lineRule="auto"/>
        <w:ind w:left="10" w:hanging="10"/>
        <w:jc w:val="center"/>
        <w:rPr>
          <w:rFonts w:ascii="仿宋" w:eastAsia="仿宋"/>
          <w:szCs w:val="32"/>
        </w:rPr>
      </w:pPr>
      <w:r>
        <w:rPr>
          <w:rFonts w:ascii="仿宋" w:eastAsia="仿宋"/>
          <w:szCs w:val="32"/>
        </w:rPr>
        <w:t>部门政府采购预算</w:t>
      </w:r>
    </w:p>
    <w:tbl>
      <w:tblPr>
        <w:jc w:val="center"/>
        <w:tblW w:w="483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1864"/>
        <w:gridCol w:w="904"/>
        <w:gridCol w:w="1016"/>
        <w:gridCol w:w="1123"/>
        <w:gridCol w:w="706"/>
        <w:gridCol w:w="901"/>
        <w:gridCol w:w="925"/>
        <w:gridCol w:w="901"/>
        <w:gridCol w:w="901"/>
        <w:gridCol w:w="902"/>
        <w:gridCol w:w="902"/>
        <w:gridCol w:w="902"/>
        <w:gridCol w:w="906"/>
        <w:gridCol w:w="849"/>
      </w:tblGrid>
      <w:tr>
        <w:trPr>
          <w:tblHeader/>
        </w:trPr>
        <w:tc>
          <w:tcPr>
            <w:tcW w:w="7439" w:type="dxa"/>
            <w:gridSpan w:val="7"/>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仿宋" w:eastAsia="仿宋" w:hint="eastAsia"/>
                <w:sz w:val="21"/>
                <w:szCs w:val="21"/>
              </w:rPr>
            </w:pPr>
            <w:r>
              <w:rPr>
                <w:rFonts w:ascii="仿宋" w:eastAsia="仿宋" w:hint="eastAsia"/>
                <w:sz w:val="21"/>
                <w:szCs w:val="21"/>
              </w:rPr>
              <w:t>313中共秦皇岛市委政法委</w:t>
            </w:r>
          </w:p>
        </w:tc>
        <w:tc>
          <w:tcPr>
            <w:tcW w:w="6263" w:type="dxa"/>
            <w:gridSpan w:val="7"/>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仿宋" w:eastAsia="仿宋" w:hint="eastAsia"/>
                <w:sz w:val="21"/>
                <w:szCs w:val="21"/>
              </w:rPr>
            </w:pPr>
            <w:r>
              <w:rPr>
                <w:rFonts w:ascii="仿宋" w:eastAsia="仿宋" w:hint="eastAsia"/>
                <w:sz w:val="21"/>
                <w:szCs w:val="21"/>
              </w:rPr>
              <w:t>单位：万元</w:t>
            </w:r>
          </w:p>
        </w:tc>
      </w:tr>
      <w:tr>
        <w:trPr>
          <w:cantSplit/>
          <w:tblHeader/>
        </w:trPr>
        <w:tc>
          <w:tcPr>
            <w:tcW w:w="2768" w:type="dxa"/>
            <w:gridSpan w:val="2"/>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hint="eastAsia"/>
                <w:b/>
                <w:sz w:val="21"/>
                <w:szCs w:val="21"/>
              </w:rPr>
              <w:t>政府采购项目来源</w:t>
            </w:r>
          </w:p>
        </w:tc>
        <w:tc>
          <w:tcPr>
            <w:tcW w:w="1016" w:type="dxa"/>
            <w:vMerge w:val="restart"/>
            <w:tcBorders>
              <w:tl2br w:val="nil"/>
              <w:tr2bl w:val="nil"/>
            </w:tcBorders>
            <w:shd w:val="clear" w:color="auto" w:fill="auto"/>
            <w:vAlign w:val="center"/>
          </w:tcPr>
          <w:p>
            <w:pPr>
              <w:spacing w:line="300" w:lineRule="exact"/>
              <w:ind w:left="0" w:hanging="1"/>
              <w:jc w:val="center"/>
              <w:rPr>
                <w:rFonts w:ascii="仿宋" w:eastAsia="仿宋" w:hint="eastAsia"/>
                <w:b/>
                <w:sz w:val="21"/>
                <w:szCs w:val="21"/>
              </w:rPr>
            </w:pPr>
            <w:r>
              <w:rPr>
                <w:rFonts w:ascii="仿宋" w:eastAsia="仿宋" w:hint="eastAsia"/>
                <w:b/>
                <w:sz w:val="21"/>
                <w:szCs w:val="21"/>
              </w:rPr>
              <w:t>采购物品名称</w:t>
            </w:r>
          </w:p>
        </w:tc>
        <w:tc>
          <w:tcPr>
            <w:tcW w:w="1123" w:type="dxa"/>
            <w:vMerge w:val="restart"/>
            <w:tcBorders>
              <w:tl2br w:val="nil"/>
              <w:tr2bl w:val="nil"/>
            </w:tcBorders>
            <w:shd w:val="clear" w:color="auto" w:fill="auto"/>
            <w:vAlign w:val="center"/>
          </w:tcPr>
          <w:p>
            <w:pPr>
              <w:spacing w:line="300" w:lineRule="exact"/>
              <w:ind w:left="0" w:hanging="11"/>
              <w:jc w:val="center"/>
              <w:rPr>
                <w:rFonts w:ascii="仿宋" w:eastAsia="仿宋" w:hint="eastAsia"/>
                <w:b/>
                <w:sz w:val="21"/>
                <w:szCs w:val="21"/>
              </w:rPr>
            </w:pPr>
            <w:r>
              <w:rPr>
                <w:rFonts w:ascii="仿宋" w:eastAsia="仿宋" w:hint="eastAsia"/>
                <w:b/>
                <w:sz w:val="21"/>
                <w:szCs w:val="21"/>
              </w:rPr>
              <w:t>政府采购目录序号</w:t>
            </w:r>
          </w:p>
        </w:tc>
        <w:tc>
          <w:tcPr>
            <w:tcW w:w="706" w:type="dxa"/>
            <w:vMerge w:val="restart"/>
            <w:tcBorders>
              <w:tl2br w:val="nil"/>
              <w:tr2bl w:val="nil"/>
            </w:tcBorders>
            <w:shd w:val="clear" w:color="auto" w:fill="auto"/>
            <w:vAlign w:val="center"/>
          </w:tcPr>
          <w:p>
            <w:pPr>
              <w:spacing w:line="300" w:lineRule="exact"/>
              <w:ind w:left="0" w:hanging="6"/>
              <w:jc w:val="center"/>
              <w:rPr>
                <w:rFonts w:ascii="仿宋" w:eastAsia="仿宋" w:hint="eastAsia"/>
                <w:b/>
                <w:sz w:val="21"/>
                <w:szCs w:val="21"/>
              </w:rPr>
            </w:pPr>
            <w:r>
              <w:rPr>
                <w:rFonts w:ascii="仿宋" w:eastAsia="仿宋" w:hint="eastAsia"/>
                <w:b/>
                <w:sz w:val="21"/>
                <w:szCs w:val="21"/>
              </w:rPr>
              <w:t xml:space="preserve">数量  </w:t>
            </w:r>
            <w:r>
              <w:rPr>
                <w:rFonts w:ascii="仿宋" w:eastAsia="仿宋"/>
                <w:b/>
                <w:sz w:val="21"/>
                <w:szCs w:val="21"/>
              </w:rPr>
              <w:t xml:space="preserve"> </w:t>
            </w:r>
            <w:r>
              <w:rPr>
                <w:rFonts w:ascii="仿宋" w:eastAsia="仿宋" w:hint="eastAsia"/>
                <w:b/>
                <w:sz w:val="21"/>
                <w:szCs w:val="21"/>
              </w:rPr>
              <w:t>单位</w:t>
            </w:r>
          </w:p>
        </w:tc>
        <w:tc>
          <w:tcPr>
            <w:tcW w:w="901" w:type="dxa"/>
            <w:vMerge w:val="restart"/>
            <w:tcBorders>
              <w:tl2br w:val="nil"/>
              <w:tr2bl w:val="nil"/>
            </w:tcBorders>
            <w:shd w:val="clear" w:color="auto" w:fill="auto"/>
            <w:vAlign w:val="center"/>
          </w:tcPr>
          <w:p>
            <w:pPr>
              <w:spacing w:line="300" w:lineRule="exact"/>
              <w:ind w:left="0" w:hanging="1"/>
              <w:jc w:val="center"/>
              <w:rPr>
                <w:rFonts w:ascii="仿宋" w:eastAsia="仿宋" w:hint="eastAsia"/>
                <w:b/>
                <w:sz w:val="21"/>
                <w:szCs w:val="21"/>
              </w:rPr>
            </w:pPr>
            <w:r>
              <w:rPr>
                <w:rFonts w:ascii="仿宋" w:eastAsia="仿宋" w:hint="eastAsia"/>
                <w:b/>
                <w:sz w:val="21"/>
                <w:szCs w:val="21"/>
              </w:rPr>
              <w:t>数量</w:t>
            </w:r>
          </w:p>
        </w:tc>
        <w:tc>
          <w:tcPr>
            <w:tcW w:w="925" w:type="dxa"/>
            <w:vMerge w:val="restart"/>
            <w:tcBorders>
              <w:tl2br w:val="nil"/>
              <w:tr2bl w:val="nil"/>
            </w:tcBorders>
            <w:shd w:val="clear" w:color="auto" w:fill="auto"/>
            <w:vAlign w:val="center"/>
          </w:tcPr>
          <w:p>
            <w:pPr>
              <w:spacing w:line="300" w:lineRule="exact"/>
              <w:ind w:left="0" w:hanging="11"/>
              <w:jc w:val="center"/>
              <w:rPr>
                <w:rFonts w:ascii="仿宋" w:eastAsia="仿宋" w:hint="eastAsia"/>
                <w:b/>
                <w:sz w:val="21"/>
                <w:szCs w:val="21"/>
              </w:rPr>
            </w:pPr>
            <w:r>
              <w:rPr>
                <w:rFonts w:ascii="仿宋" w:eastAsia="仿宋" w:hint="eastAsia"/>
                <w:b/>
                <w:sz w:val="21"/>
                <w:szCs w:val="21"/>
              </w:rPr>
              <w:t>单价</w:t>
            </w:r>
          </w:p>
        </w:tc>
        <w:tc>
          <w:tcPr>
            <w:tcW w:w="6263" w:type="dxa"/>
            <w:gridSpan w:val="7"/>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hint="eastAsia"/>
                <w:b/>
                <w:sz w:val="21"/>
                <w:szCs w:val="21"/>
              </w:rPr>
              <w:t>政府采购金额</w:t>
            </w:r>
          </w:p>
        </w:tc>
      </w:tr>
      <w:tr>
        <w:trPr>
          <w:cantSplit/>
          <w:tblHeader/>
        </w:trPr>
        <w:tc>
          <w:tcPr>
            <w:tcW w:w="1864" w:type="dxa"/>
            <w:vMerge w:val="restart"/>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hint="eastAsia"/>
                <w:b/>
                <w:sz w:val="21"/>
                <w:szCs w:val="21"/>
              </w:rPr>
              <w:t>项目名称</w:t>
            </w:r>
          </w:p>
        </w:tc>
        <w:tc>
          <w:tcPr>
            <w:tcW w:w="904" w:type="dxa"/>
            <w:vMerge w:val="restart"/>
            <w:tcBorders>
              <w:tl2br w:val="nil"/>
              <w:tr2bl w:val="nil"/>
            </w:tcBorders>
            <w:shd w:val="clear" w:color="auto" w:fill="auto"/>
            <w:vAlign w:val="center"/>
          </w:tcPr>
          <w:p>
            <w:pPr>
              <w:spacing w:line="300" w:lineRule="exact"/>
              <w:ind w:left="0" w:hanging="8"/>
              <w:jc w:val="center"/>
              <w:rPr>
                <w:rFonts w:ascii="仿宋" w:eastAsia="仿宋" w:hint="eastAsia"/>
                <w:b/>
                <w:sz w:val="21"/>
                <w:szCs w:val="21"/>
              </w:rPr>
            </w:pPr>
            <w:r>
              <w:rPr>
                <w:rFonts w:ascii="仿宋" w:eastAsia="仿宋" w:hint="eastAsia"/>
                <w:b/>
                <w:sz w:val="21"/>
                <w:szCs w:val="21"/>
              </w:rPr>
              <w:t>预算资金</w:t>
            </w:r>
          </w:p>
        </w:tc>
        <w:tc>
          <w:tcPr>
            <w:tcW w:w="1141" w:type="dxa"/>
            <w:vMerge/>
            <w:tcBorders>
              <w:tl2br w:val="nil"/>
              <w:tr2bl w:val="nil"/>
            </w:tcBorders>
            <w:shd w:val="clear" w:color="auto" w:fill="auto"/>
            <w:vAlign w:val="center"/>
          </w:tcPr>
          <w:p/>
        </w:tc>
        <w:tc>
          <w:tcPr>
            <w:tcW w:w="1262" w:type="dxa"/>
            <w:vMerge/>
            <w:tcBorders>
              <w:tl2br w:val="nil"/>
              <w:tr2bl w:val="nil"/>
            </w:tcBorders>
            <w:shd w:val="clear" w:color="auto" w:fill="auto"/>
            <w:vAlign w:val="center"/>
          </w:tcPr>
          <w:p/>
        </w:tc>
        <w:tc>
          <w:tcPr>
            <w:tcW w:w="793" w:type="dxa"/>
            <w:vMerge/>
            <w:tcBorders>
              <w:tl2br w:val="nil"/>
              <w:tr2bl w:val="nil"/>
            </w:tcBorders>
            <w:shd w:val="clear" w:color="auto" w:fill="auto"/>
            <w:vAlign w:val="center"/>
          </w:tcPr>
          <w:p/>
        </w:tc>
        <w:tc>
          <w:tcPr>
            <w:tcW w:w="1012" w:type="dxa"/>
            <w:vMerge/>
            <w:tcBorders>
              <w:tl2br w:val="nil"/>
              <w:tr2bl w:val="nil"/>
            </w:tcBorders>
            <w:shd w:val="clear" w:color="auto" w:fill="auto"/>
            <w:vAlign w:val="center"/>
          </w:tcPr>
          <w:p/>
        </w:tc>
        <w:tc>
          <w:tcPr>
            <w:tcW w:w="1039" w:type="dxa"/>
            <w:vMerge/>
            <w:tcBorders>
              <w:tl2br w:val="nil"/>
              <w:tr2bl w:val="nil"/>
            </w:tcBorders>
            <w:shd w:val="clear" w:color="auto" w:fill="auto"/>
            <w:vAlign w:val="center"/>
          </w:tcPr>
          <w:p/>
        </w:tc>
        <w:tc>
          <w:tcPr>
            <w:tcW w:w="901" w:type="dxa"/>
            <w:vMerge w:val="restart"/>
            <w:tcBorders>
              <w:tl2br w:val="nil"/>
              <w:tr2bl w:val="nil"/>
            </w:tcBorders>
            <w:shd w:val="clear" w:color="auto" w:fill="auto"/>
            <w:vAlign w:val="center"/>
          </w:tcPr>
          <w:p>
            <w:pPr>
              <w:spacing w:line="300" w:lineRule="exact"/>
              <w:ind w:left="0" w:hanging="6"/>
              <w:jc w:val="center"/>
              <w:rPr>
                <w:rFonts w:ascii="仿宋" w:eastAsia="仿宋" w:hint="eastAsia"/>
                <w:b/>
                <w:sz w:val="21"/>
                <w:szCs w:val="21"/>
              </w:rPr>
            </w:pPr>
            <w:r>
              <w:rPr>
                <w:rFonts w:ascii="仿宋" w:eastAsia="仿宋" w:hint="eastAsia"/>
                <w:b/>
                <w:sz w:val="21"/>
                <w:szCs w:val="21"/>
              </w:rPr>
              <w:t>总计</w:t>
            </w:r>
          </w:p>
        </w:tc>
        <w:tc>
          <w:tcPr>
            <w:tcW w:w="4512" w:type="dxa"/>
            <w:gridSpan w:val="5"/>
            <w:tcBorders>
              <w:tl2br w:val="nil"/>
              <w:tr2bl w:val="nil"/>
            </w:tcBorders>
            <w:shd w:val="clear" w:color="auto" w:fill="auto"/>
            <w:vAlign w:val="center"/>
          </w:tcPr>
          <w:p>
            <w:pPr>
              <w:spacing w:line="300" w:lineRule="exact"/>
              <w:jc w:val="center"/>
              <w:rPr>
                <w:rFonts w:ascii="仿宋" w:eastAsia="仿宋" w:hint="eastAsia"/>
                <w:b/>
                <w:sz w:val="21"/>
                <w:szCs w:val="21"/>
              </w:rPr>
            </w:pPr>
            <w:r>
              <w:rPr>
                <w:rFonts w:ascii="仿宋" w:eastAsia="仿宋" w:hint="eastAsia"/>
                <w:b/>
                <w:sz w:val="21"/>
                <w:szCs w:val="21"/>
              </w:rPr>
              <w:t>当年部门预算安排资金</w:t>
            </w:r>
          </w:p>
        </w:tc>
        <w:tc>
          <w:tcPr>
            <w:tcW w:w="849" w:type="dxa"/>
            <w:vMerge w:val="restart"/>
            <w:tcBorders>
              <w:tl2br w:val="nil"/>
              <w:tr2bl w:val="nil"/>
            </w:tcBorders>
            <w:shd w:val="clear" w:color="auto" w:fill="auto"/>
            <w:vAlign w:val="center"/>
          </w:tcPr>
          <w:p>
            <w:pPr>
              <w:spacing w:line="300" w:lineRule="exact"/>
              <w:ind w:left="0" w:hanging="6"/>
              <w:jc w:val="center"/>
              <w:rPr>
                <w:rFonts w:ascii="仿宋" w:eastAsia="仿宋" w:hint="eastAsia"/>
                <w:b/>
                <w:sz w:val="21"/>
                <w:szCs w:val="21"/>
              </w:rPr>
            </w:pPr>
            <w:r>
              <w:rPr>
                <w:rFonts w:ascii="仿宋" w:eastAsia="仿宋" w:hint="eastAsia"/>
                <w:b/>
                <w:sz w:val="21"/>
                <w:szCs w:val="21"/>
              </w:rPr>
              <w:t>其他渠道资金</w:t>
            </w:r>
          </w:p>
        </w:tc>
      </w:tr>
      <w:tr>
        <w:trPr>
          <w:cantSplit/>
          <w:tblHeader/>
        </w:trPr>
        <w:tc>
          <w:tcPr>
            <w:tcW w:w="2094" w:type="dxa"/>
            <w:vMerge/>
            <w:tcBorders>
              <w:tl2br w:val="nil"/>
              <w:tr2bl w:val="nil"/>
            </w:tcBorders>
            <w:shd w:val="clear" w:color="auto" w:fill="auto"/>
            <w:vAlign w:val="center"/>
          </w:tcPr>
          <w:p/>
        </w:tc>
        <w:tc>
          <w:tcPr>
            <w:tcW w:w="1015" w:type="dxa"/>
            <w:vMerge/>
            <w:tcBorders>
              <w:tl2br w:val="nil"/>
              <w:tr2bl w:val="nil"/>
            </w:tcBorders>
            <w:shd w:val="clear" w:color="auto" w:fill="auto"/>
            <w:vAlign w:val="center"/>
          </w:tcPr>
          <w:p/>
        </w:tc>
        <w:tc>
          <w:tcPr>
            <w:tcW w:w="1141" w:type="dxa"/>
            <w:vMerge/>
            <w:tcBorders>
              <w:tl2br w:val="nil"/>
              <w:tr2bl w:val="nil"/>
            </w:tcBorders>
            <w:shd w:val="clear" w:color="auto" w:fill="auto"/>
            <w:vAlign w:val="center"/>
          </w:tcPr>
          <w:p/>
        </w:tc>
        <w:tc>
          <w:tcPr>
            <w:tcW w:w="1262" w:type="dxa"/>
            <w:vMerge/>
            <w:tcBorders>
              <w:tl2br w:val="nil"/>
              <w:tr2bl w:val="nil"/>
            </w:tcBorders>
            <w:shd w:val="clear" w:color="auto" w:fill="auto"/>
            <w:vAlign w:val="center"/>
          </w:tcPr>
          <w:p/>
        </w:tc>
        <w:tc>
          <w:tcPr>
            <w:tcW w:w="793" w:type="dxa"/>
            <w:vMerge/>
            <w:tcBorders>
              <w:tl2br w:val="nil"/>
              <w:tr2bl w:val="nil"/>
            </w:tcBorders>
            <w:shd w:val="clear" w:color="auto" w:fill="auto"/>
            <w:vAlign w:val="center"/>
          </w:tcPr>
          <w:p/>
        </w:tc>
        <w:tc>
          <w:tcPr>
            <w:tcW w:w="1012" w:type="dxa"/>
            <w:vMerge/>
            <w:tcBorders>
              <w:tl2br w:val="nil"/>
              <w:tr2bl w:val="nil"/>
            </w:tcBorders>
            <w:shd w:val="clear" w:color="auto" w:fill="auto"/>
            <w:vAlign w:val="center"/>
          </w:tcPr>
          <w:p/>
        </w:tc>
        <w:tc>
          <w:tcPr>
            <w:tcW w:w="1039" w:type="dxa"/>
            <w:vMerge/>
            <w:tcBorders>
              <w:tl2br w:val="nil"/>
              <w:tr2bl w:val="nil"/>
            </w:tcBorders>
            <w:shd w:val="clear" w:color="auto" w:fill="auto"/>
            <w:vAlign w:val="center"/>
          </w:tcPr>
          <w:p/>
        </w:tc>
        <w:tc>
          <w:tcPr>
            <w:tcW w:w="1012" w:type="dxa"/>
            <w:vMerge/>
            <w:tcBorders>
              <w:tl2br w:val="nil"/>
              <w:tr2bl w:val="nil"/>
            </w:tcBorders>
            <w:shd w:val="clear" w:color="auto" w:fill="auto"/>
            <w:vAlign w:val="center"/>
          </w:tcPr>
          <w:p/>
        </w:tc>
        <w:tc>
          <w:tcPr>
            <w:tcW w:w="901" w:type="dxa"/>
            <w:tcBorders>
              <w:tl2br w:val="nil"/>
              <w:tr2bl w:val="nil"/>
            </w:tcBorders>
            <w:shd w:val="clear" w:color="auto" w:fill="auto"/>
            <w:vAlign w:val="center"/>
          </w:tcPr>
          <w:p>
            <w:pPr>
              <w:spacing w:line="300" w:lineRule="exact"/>
              <w:ind w:left="0" w:hanging="6"/>
              <w:jc w:val="center"/>
              <w:rPr>
                <w:rFonts w:ascii="仿宋" w:eastAsia="仿宋" w:hint="eastAsia"/>
                <w:b/>
                <w:sz w:val="21"/>
                <w:szCs w:val="21"/>
              </w:rPr>
            </w:pPr>
            <w:r>
              <w:rPr>
                <w:rFonts w:ascii="仿宋" w:eastAsia="仿宋" w:hint="eastAsia"/>
                <w:b/>
                <w:sz w:val="21"/>
                <w:szCs w:val="21"/>
              </w:rPr>
              <w:t>合计</w:t>
            </w:r>
          </w:p>
        </w:tc>
        <w:tc>
          <w:tcPr>
            <w:tcW w:w="902" w:type="dxa"/>
            <w:tcBorders>
              <w:tl2br w:val="nil"/>
              <w:tr2bl w:val="nil"/>
            </w:tcBorders>
            <w:shd w:val="clear" w:color="auto" w:fill="auto"/>
            <w:vAlign w:val="center"/>
          </w:tcPr>
          <w:p>
            <w:pPr>
              <w:spacing w:line="300" w:lineRule="exact"/>
              <w:ind w:left="0" w:hanging="7"/>
              <w:jc w:val="center"/>
              <w:rPr>
                <w:rFonts w:ascii="仿宋" w:eastAsia="仿宋" w:hint="eastAsia"/>
                <w:b/>
                <w:sz w:val="21"/>
                <w:szCs w:val="21"/>
              </w:rPr>
            </w:pPr>
            <w:r>
              <w:rPr>
                <w:rFonts w:ascii="仿宋" w:eastAsia="仿宋" w:hint="eastAsia"/>
                <w:b/>
                <w:sz w:val="21"/>
                <w:szCs w:val="21"/>
              </w:rPr>
              <w:t>一般公共预算拨款</w:t>
            </w:r>
          </w:p>
        </w:tc>
        <w:tc>
          <w:tcPr>
            <w:tcW w:w="902" w:type="dxa"/>
            <w:tcBorders>
              <w:tl2br w:val="nil"/>
              <w:tr2bl w:val="nil"/>
            </w:tcBorders>
            <w:shd w:val="clear" w:color="auto" w:fill="auto"/>
            <w:vAlign w:val="center"/>
          </w:tcPr>
          <w:p>
            <w:pPr>
              <w:spacing w:line="300" w:lineRule="exact"/>
              <w:ind w:left="0" w:hanging="8"/>
              <w:jc w:val="center"/>
              <w:rPr>
                <w:rFonts w:ascii="仿宋" w:eastAsia="仿宋" w:hint="eastAsia"/>
                <w:b/>
                <w:sz w:val="21"/>
                <w:szCs w:val="21"/>
              </w:rPr>
            </w:pPr>
            <w:r>
              <w:rPr>
                <w:rFonts w:ascii="仿宋" w:eastAsia="仿宋" w:hint="eastAsia"/>
                <w:b/>
                <w:sz w:val="21"/>
                <w:szCs w:val="21"/>
              </w:rPr>
              <w:t>基金预算拨款</w:t>
            </w:r>
          </w:p>
        </w:tc>
        <w:tc>
          <w:tcPr>
            <w:tcW w:w="902" w:type="dxa"/>
            <w:tcBorders>
              <w:tl2br w:val="nil"/>
              <w:tr2bl w:val="nil"/>
            </w:tcBorders>
            <w:shd w:val="clear" w:color="auto" w:fill="auto"/>
            <w:vAlign w:val="center"/>
          </w:tcPr>
          <w:p>
            <w:pPr>
              <w:spacing w:line="300" w:lineRule="exact"/>
              <w:ind w:left="0" w:firstLine="0"/>
              <w:jc w:val="center"/>
              <w:rPr>
                <w:rFonts w:ascii="仿宋" w:eastAsia="仿宋" w:hint="eastAsia"/>
                <w:b/>
                <w:sz w:val="21"/>
                <w:szCs w:val="21"/>
              </w:rPr>
            </w:pPr>
            <w:r>
              <w:rPr>
                <w:rFonts w:ascii="仿宋" w:eastAsia="仿宋" w:hint="eastAsia"/>
                <w:b/>
                <w:sz w:val="21"/>
                <w:szCs w:val="21"/>
              </w:rPr>
              <w:t>财政专户核拨</w:t>
            </w:r>
          </w:p>
        </w:tc>
        <w:tc>
          <w:tcPr>
            <w:tcW w:w="906" w:type="dxa"/>
            <w:tcBorders>
              <w:tl2br w:val="nil"/>
              <w:tr2bl w:val="nil"/>
            </w:tcBorders>
            <w:shd w:val="clear" w:color="auto" w:fill="auto"/>
            <w:vAlign w:val="center"/>
          </w:tcPr>
          <w:p>
            <w:pPr>
              <w:spacing w:line="300" w:lineRule="exact"/>
              <w:ind w:left="0" w:hanging="10"/>
              <w:jc w:val="center"/>
              <w:rPr>
                <w:rFonts w:ascii="仿宋" w:eastAsia="仿宋" w:hint="eastAsia"/>
                <w:b/>
                <w:sz w:val="21"/>
                <w:szCs w:val="21"/>
              </w:rPr>
            </w:pPr>
            <w:r>
              <w:rPr>
                <w:rFonts w:ascii="仿宋" w:eastAsia="仿宋" w:hint="eastAsia"/>
                <w:b/>
                <w:sz w:val="21"/>
                <w:szCs w:val="21"/>
              </w:rPr>
              <w:t>其他来源收入</w:t>
            </w:r>
          </w:p>
        </w:tc>
        <w:tc>
          <w:tcPr>
            <w:tcW w:w="954" w:type="dxa"/>
            <w:vMerge/>
            <w:tcBorders>
              <w:tl2br w:val="nil"/>
              <w:tr2bl w:val="nil"/>
            </w:tcBorders>
            <w:shd w:val="clear" w:color="auto" w:fill="auto"/>
            <w:vAlign w:val="center"/>
          </w:tc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中共秦皇岛市委政法委员会小计</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377.00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377.00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377.00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全市社会治安综合治理工作经费</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180.00</w:t>
            </w: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被服</w:t>
            </w: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A070301</w:t>
            </w: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套</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700</w:t>
            </w: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0.10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70.00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70.00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70.00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全市维护稳定和司法求助工作经费</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170.00</w:t>
            </w: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警械设备</w:t>
            </w: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A032507</w:t>
            </w: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批</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w:t>
            </w: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40.00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40.00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40.00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40.00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全市政法干警人身意外伤害保险经费</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37.00</w:t>
            </w: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保险服务</w:t>
            </w: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C1504</w:t>
            </w: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批</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w:t>
            </w: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37.00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37.00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37.00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37.00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全市政法信息网络运行维护经费</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170.00</w:t>
            </w: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运行维护服务</w:t>
            </w: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C0206</w:t>
            </w: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年</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w:t>
            </w: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65.00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65.00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65.00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65.00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全市政法信息网络运行维护经费</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170.00</w:t>
            </w: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电信和其他信息传输服务</w:t>
            </w: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C03</w:t>
            </w: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年</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w:t>
            </w: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70.00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70.00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70.00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70.00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全市政法信息网络运行维护经费</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170.00</w:t>
            </w: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视频会议系统设备</w:t>
            </w: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A020808</w:t>
            </w: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批</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w:t>
            </w: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25.00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25.00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25.00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25.00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全市社会治安综合治理工作经费</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180.00</w:t>
            </w: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计算机设备及软件</w:t>
            </w: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A0201</w:t>
            </w: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批</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w:t>
            </w: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35.00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35.00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35.00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35.00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r>
        <w:tc>
          <w:tcPr>
            <w:tcW w:w="186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全市社会治安综合治理工作经费</w:t>
            </w:r>
          </w:p>
        </w:tc>
        <w:tc>
          <w:tcPr>
            <w:tcW w:w="904"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180.00</w:t>
            </w:r>
          </w:p>
        </w:tc>
        <w:tc>
          <w:tcPr>
            <w:tcW w:w="101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印刷品</w:t>
            </w:r>
          </w:p>
        </w:tc>
        <w:tc>
          <w:tcPr>
            <w:tcW w:w="1123"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A0802</w:t>
            </w:r>
          </w:p>
        </w:tc>
        <w:tc>
          <w:tcPr>
            <w:tcW w:w="7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批</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1</w:t>
            </w:r>
          </w:p>
        </w:tc>
        <w:tc>
          <w:tcPr>
            <w:tcW w:w="925"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35.00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35.00</w:t>
            </w:r>
          </w:p>
        </w:tc>
        <w:tc>
          <w:tcPr>
            <w:tcW w:w="901"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35.00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r>
              <w:rPr>
                <w:rFonts w:ascii="仿宋" w:eastAsia="仿宋" w:hint="eastAsia"/>
                <w:b/>
                <w:sz w:val="21"/>
                <w:szCs w:val="21"/>
                <w:bdr w:val="none" w:sz="0" w:space="0" w:color="auto"/>
              </w:rPr>
              <w:t>35.00</w:t>
            </w: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2"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906"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c>
          <w:tcPr>
            <w:tcW w:w="849" w:type="dxa"/>
            <w:tcBorders>
              <w:tl2br w:val="nil"/>
              <w:tr2bl w:val="nil"/>
            </w:tcBorders>
            <w:shd w:val="clear" w:color="auto" w:fill="auto"/>
            <w:vAlign w:val="center"/>
          </w:tcPr>
          <w:p>
            <w:pPr>
              <w:spacing w:line="300" w:lineRule="exact"/>
              <w:ind w:left="0" w:hanging="8"/>
              <w:jc w:val="right"/>
              <w:rPr>
                <w:rFonts w:ascii="仿宋" w:eastAsia="仿宋" w:hint="eastAsia"/>
                <w:b/>
                <w:sz w:val="21"/>
                <w:szCs w:val="21"/>
                <w:bdr w:val="none" w:sz="0" w:space="0" w:color="auto"/>
              </w:rPr>
            </w:pPr>
          </w:p>
        </w:tc>
      </w:tr>
    </w:tbl>
    <w:p>
      <w:pPr>
        <w:spacing w:after="194" w:line="259" w:lineRule="auto"/>
        <w:ind w:left="838" w:right="8665" w:firstLine="0"/>
        <w:rPr>
          <w:rFonts w:ascii="仿宋" w:eastAsia="仿宋"/>
          <w:b/>
          <w:szCs w:val="32"/>
        </w:rPr>
      </w:pPr>
    </w:p>
    <w:p>
      <w:pPr>
        <w:spacing w:after="194" w:line="259" w:lineRule="auto"/>
        <w:ind w:left="838" w:right="8665" w:firstLine="0"/>
        <w:rPr>
          <w:rFonts w:ascii="仿宋" w:eastAsia="仿宋"/>
          <w:b/>
          <w:szCs w:val="32"/>
        </w:rPr>
      </w:pPr>
    </w:p>
    <w:p>
      <w:pPr>
        <w:spacing w:after="194" w:line="259" w:lineRule="auto"/>
        <w:ind w:left="838" w:right="8665" w:firstLine="0"/>
        <w:rPr>
          <w:rFonts w:ascii="仿宋" w:eastAsia="仿宋"/>
          <w:b/>
          <w:szCs w:val="32"/>
        </w:rPr>
      </w:pPr>
    </w:p>
    <w:p>
      <w:pPr>
        <w:spacing w:after="194" w:line="259" w:lineRule="auto"/>
        <w:ind w:left="838" w:right="8665" w:firstLine="0"/>
        <w:rPr>
          <w:rFonts w:ascii="仿宋" w:eastAsia="仿宋"/>
          <w:b/>
          <w:szCs w:val="32"/>
        </w:rPr>
      </w:pPr>
      <w:r>
        <w:rPr>
          <w:rFonts w:ascii="仿宋" w:eastAsia="仿宋"/>
          <w:b/>
          <w:szCs w:val="32"/>
        </w:rPr>
        <w:t>七、国有资产信息</w:t>
      </w:r>
    </w:p>
    <w:p>
      <w:pPr>
        <w:spacing w:after="244" w:line="381" w:lineRule="auto"/>
        <w:ind w:left="-15" w:firstLine="641"/>
        <w:rPr>
          <w:rFonts w:ascii="仿宋" w:eastAsia="仿宋"/>
          <w:szCs w:val="32"/>
        </w:rPr>
        <w:sectPr>
          <w:headerReference w:type="default" r:id="rId2"/>
          <w:headerReference w:type="even" r:id="rId3"/>
          <w:headerReference w:type="first" r:id="rId4"/>
          <w:pgSz w:w="16838" w:h="11906" w:orient="landscape"/>
          <w:pgMar w:top="2122" w:right="1439" w:bottom="2057" w:left="1440" w:header="1838" w:footer="720" w:gutter="0"/>
          <w:docGrid w:linePitch="435" w:charSpace="0"/>
        </w:sectPr>
      </w:pPr>
      <w:r>
        <w:rPr>
          <w:rFonts w:ascii="仿宋_GB2312" w:eastAsia="仿宋_GB2312"/>
          <w:sz w:val="32"/>
          <w:szCs w:val="32"/>
        </w:rPr>
        <w:t>秦皇岛市委政法委部门</w:t>
      </w:r>
      <w:r>
        <w:rPr>
          <w:rFonts w:ascii="仿宋_GB2312" w:eastAsia="仿宋_GB2312" w:hint="eastAsia"/>
          <w:sz w:val="32"/>
          <w:szCs w:val="32"/>
        </w:rPr>
        <w:t>固定资产2016年决算数为12693389元，固定资产系统中2016年底固定资产数为13761220，比2016年决算数多1067831元，原因为2007年单位财务独立，成为财政预算单位，而2003-2006年在财政集中户中设有小帐户，其中固定资产数在固定资产系统中已登记入帐，在决算数中未包含。单位价值在200万以上的设备为全市政法信息网络建设系统和“平安铁路”视频监控系统。2017年度本部门拟购置视频会议系统设备及计算机设备、软件。</w:t>
      </w:r>
    </w:p>
    <w:p>
      <w:pPr>
        <w:spacing w:after="194" w:line="259" w:lineRule="auto"/>
        <w:ind w:left="838" w:right="8665" w:firstLine="0"/>
        <w:rPr>
          <w:rFonts w:ascii="仿宋" w:eastAsia="仿宋"/>
          <w:b/>
          <w:szCs w:val="32"/>
        </w:rPr>
      </w:pPr>
      <w:r>
        <w:rPr>
          <w:rFonts w:ascii="仿宋" w:eastAsia="仿宋"/>
          <w:b/>
          <w:szCs w:val="32"/>
        </w:rPr>
        <w:t>八、名词解释</w:t>
      </w:r>
    </w:p>
    <w:p>
      <w:pPr>
        <w:spacing w:after="4"/>
        <w:ind w:left="10" w:right="4826" w:hanging="10"/>
        <w:jc w:val="right"/>
        <w:rPr>
          <w:rFonts w:ascii="仿宋" w:eastAsia="仿宋" w:cs="Times New Roman"/>
          <w:szCs w:val="32"/>
        </w:rPr>
      </w:pPr>
      <w:r>
        <w:rPr>
          <w:rFonts w:ascii="仿宋" w:eastAsia="仿宋" w:cs="Times New Roman"/>
          <w:b/>
          <w:szCs w:val="32"/>
        </w:rPr>
        <w:t>1</w:t>
      </w:r>
      <w:r>
        <w:rPr>
          <w:rFonts w:ascii="仿宋" w:eastAsia="仿宋"/>
          <w:szCs w:val="32"/>
        </w:rPr>
        <w:t>、一般共预算拨款收入：</w:t>
      </w:r>
      <w:r>
        <w:rPr>
          <w:rFonts w:ascii="仿宋" w:eastAsia="仿宋" w:hint="eastAsia"/>
          <w:szCs w:val="32"/>
        </w:rPr>
        <w:t>主要</w:t>
      </w:r>
      <w:r>
        <w:rPr>
          <w:rFonts w:ascii="仿宋" w:eastAsia="仿宋"/>
          <w:szCs w:val="32"/>
        </w:rPr>
        <w:t>指</w:t>
      </w:r>
      <w:r>
        <w:rPr>
          <w:rFonts w:ascii="仿宋" w:eastAsia="仿宋" w:hint="eastAsia"/>
          <w:szCs w:val="32"/>
        </w:rPr>
        <w:t>市</w:t>
      </w:r>
      <w:r>
        <w:rPr>
          <w:rFonts w:ascii="仿宋" w:eastAsia="仿宋"/>
          <w:szCs w:val="32"/>
        </w:rPr>
        <w:t>级财政当年拨付的资金。</w:t>
      </w:r>
    </w:p>
    <w:p>
      <w:pPr>
        <w:rPr>
          <w:rFonts w:ascii="仿宋" w:eastAsia="仿宋"/>
          <w:szCs w:val="32"/>
        </w:rPr>
      </w:pPr>
      <w:r>
        <w:rPr>
          <w:rFonts w:ascii="仿宋" w:eastAsia="仿宋" w:hint="eastAsia"/>
          <w:szCs w:val="32"/>
        </w:rPr>
        <w:t>2、</w:t>
      </w:r>
      <w:r>
        <w:rPr>
          <w:rFonts w:ascii="仿宋" w:eastAsia="仿宋"/>
          <w:szCs w:val="32"/>
        </w:rPr>
        <w:t>基本支出：指为保障机构正常运转、完成日常工作任务而发生的人员支出和公用支出。</w:t>
      </w:r>
    </w:p>
    <w:p>
      <w:pPr>
        <w:rPr>
          <w:rFonts w:ascii="仿宋" w:eastAsia="仿宋"/>
          <w:szCs w:val="32"/>
        </w:rPr>
      </w:pPr>
      <w:r>
        <w:rPr>
          <w:rFonts w:ascii="仿宋" w:eastAsia="仿宋" w:hint="eastAsia"/>
          <w:szCs w:val="32"/>
        </w:rPr>
        <w:t>3、</w:t>
      </w:r>
      <w:r>
        <w:rPr>
          <w:rFonts w:ascii="仿宋" w:eastAsia="仿宋"/>
          <w:szCs w:val="32"/>
        </w:rPr>
        <w:t>项目支出：指在基本支出之外为完成特定行政任务和事业发展目标所发生的支出。</w:t>
      </w:r>
    </w:p>
    <w:p>
      <w:pPr>
        <w:rPr>
          <w:rFonts w:ascii="仿宋" w:eastAsia="仿宋"/>
          <w:szCs w:val="32"/>
        </w:rPr>
      </w:pPr>
      <w:r>
        <w:rPr>
          <w:rFonts w:ascii="仿宋" w:eastAsia="仿宋" w:hint="eastAsia"/>
          <w:szCs w:val="32"/>
        </w:rPr>
        <w:t>4、</w:t>
      </w:r>
      <w:r>
        <w:rPr>
          <w:rFonts w:ascii="仿宋" w:eastAsia="仿宋"/>
          <w:szCs w:val="32"/>
        </w:rPr>
        <w:t>上缴上级支出：指所属单位上缴上级的支出。</w:t>
      </w:r>
    </w:p>
    <w:p>
      <w:pPr>
        <w:rPr>
          <w:rFonts w:ascii="仿宋" w:eastAsia="仿宋"/>
          <w:szCs w:val="32"/>
        </w:rPr>
      </w:pPr>
      <w:r>
        <w:rPr>
          <w:rFonts w:ascii="仿宋" w:eastAsia="仿宋" w:hint="eastAsia"/>
          <w:szCs w:val="32"/>
        </w:rPr>
        <w:t>5、</w:t>
      </w:r>
      <w:r>
        <w:rPr>
          <w:rFonts w:ascii="仿宋" w:eastAsia="仿宋"/>
          <w:szCs w:val="32"/>
        </w:rPr>
        <w:t>“三公”经费：纳入</w:t>
      </w:r>
      <w:r>
        <w:rPr>
          <w:rFonts w:ascii="仿宋" w:eastAsia="仿宋" w:hint="eastAsia"/>
          <w:szCs w:val="32"/>
        </w:rPr>
        <w:t>市</w:t>
      </w:r>
      <w:r>
        <w:rPr>
          <w:rFonts w:ascii="仿宋" w:eastAsia="仿宋"/>
          <w:szCs w:val="32"/>
        </w:rPr>
        <w:t>级财政预算管理的“三公”经费，是指</w:t>
      </w:r>
      <w:r>
        <w:rPr>
          <w:rFonts w:ascii="仿宋" w:eastAsia="仿宋" w:hint="eastAsia"/>
          <w:szCs w:val="32"/>
        </w:rPr>
        <w:t>市</w:t>
      </w:r>
      <w:r>
        <w:rPr>
          <w:rFonts w:ascii="仿宋" w:eastAsia="仿宋"/>
          <w:szCs w:val="32"/>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eastAsia="仿宋"/>
          <w:szCs w:val="32"/>
        </w:rPr>
      </w:pPr>
      <w:r>
        <w:rPr>
          <w:rFonts w:ascii="仿宋" w:eastAsia="仿宋" w:hint="eastAsia"/>
          <w:szCs w:val="32"/>
        </w:rPr>
        <w:t>6、</w:t>
      </w:r>
      <w:r>
        <w:rPr>
          <w:rFonts w:ascii="仿宋" w:eastAsia="仿宋"/>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eastAsia="仿宋"/>
          <w:b/>
          <w:szCs w:val="32"/>
        </w:rPr>
      </w:pPr>
      <w:r>
        <w:rPr>
          <w:rFonts w:ascii="仿宋" w:eastAsia="仿宋" w:hint="eastAsia"/>
          <w:b/>
          <w:szCs w:val="32"/>
        </w:rPr>
        <w:t>九、其他需说明的事项</w:t>
      </w:r>
    </w:p>
    <w:p>
      <w:pPr>
        <w:rPr>
          <w:rFonts w:ascii="仿宋" w:eastAsia="仿宋"/>
          <w:szCs w:val="32"/>
        </w:rPr>
      </w:pPr>
      <w:r>
        <w:rPr>
          <w:rFonts w:ascii="仿宋" w:eastAsia="仿宋" w:hint="eastAsia"/>
          <w:szCs w:val="32"/>
        </w:rPr>
        <w:t>无其他事项说明</w:t>
      </w:r>
    </w:p>
    <w:sectPr>
      <w:headerReference w:type="default" r:id="rId5"/>
      <w:headerReference w:type="even" r:id="rId6"/>
      <w:headerReference w:type="first" r:id="rId7"/>
      <w:pgSz w:w="16838" w:h="11906" w:orient="landscape"/>
      <w:pgMar w:top="1931" w:right="1436" w:bottom="1932" w:left="1440" w:header="720" w:footer="720" w:gutter="0"/>
      <w:docGrid w:linePitch="435"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modern"/>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tabs>
        <w:tab w:val="right" w:pos="14121"/>
      </w:tabs>
      <w:spacing w:after="0" w:line="259" w:lineRule="auto"/>
      <w:ind w:right="-162" w:firstLine="0"/>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tabs>
        <w:tab w:val="right" w:pos="14121"/>
      </w:tabs>
      <w:spacing w:after="0" w:line="259" w:lineRule="auto"/>
      <w:ind w:left="-161" w:right="-162" w:firstLine="0"/>
    </w:pPr>
    <w:r>
      <w:rPr>
        <w:sz w:val="24"/>
      </w:rPr>
      <w:t>318 河北省财政厅</w:t>
      <w:tab/>
      <w:t>单位：万元</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tabs>
        <w:tab w:val="right" w:pos="14121"/>
      </w:tabs>
      <w:spacing w:after="0" w:line="259" w:lineRule="auto"/>
      <w:ind w:left="-161" w:right="-162" w:firstLine="0"/>
    </w:pPr>
    <w:r>
      <w:rPr>
        <w:sz w:val="24"/>
      </w:rPr>
      <w:t>318 河北省财政厅</w:t>
      <w:tab/>
      <w:t>单位：万元</w:t>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spacing w:after="160" w:line="259" w:lineRule="auto"/>
      <w:ind w:firstLine="0"/>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spacing w:after="160" w:line="259" w:lineRule="auto"/>
      <w:ind w:firstLine="0"/>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spacing w:after="160" w:line="259" w:lineRule="auto"/>
      <w:ind w:firstLine="0"/>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5623B2E"/>
    <w:multiLevelType w:val="hybridMultilevel"/>
    <w:tmpl w:val="84D8F166"/>
    <w:lvl w:ilvl="0">
      <w:start w:val="1"/>
      <w:numFmt w:val="japaneseCounting"/>
      <w:lvlRestart w:val="0"/>
      <w:lvlText w:val="%1、"/>
      <w:lvlJc w:val="left"/>
      <w:pPr>
        <w:tabs>
          <w:tab w:val="num" w:pos="0"/>
        </w:tabs>
        <w:ind w:left="1346" w:hanging="720"/>
      </w:pPr>
      <w:rPr>
        <w:rFonts w:ascii="黑体" w:hAnsi="黑体" w:eastAsia="黑体" w:hint="default"/>
      </w:rPr>
    </w:lvl>
    <w:lvl w:ilvl="1">
      <w:start w:val="1"/>
      <w:numFmt w:val="lowerLetter"/>
      <w:lvlText w:val="%2)"/>
      <w:lvlJc w:val="left"/>
      <w:pPr>
        <w:tabs>
          <w:tab w:val="num" w:pos="0"/>
        </w:tabs>
        <w:ind w:left="1466" w:hanging="420"/>
      </w:pPr>
    </w:lvl>
    <w:lvl w:ilvl="2">
      <w:start w:val="1"/>
      <w:numFmt w:val="lowerRoman"/>
      <w:lvlText w:val="%3."/>
      <w:lvlJc w:val="right"/>
      <w:pPr>
        <w:tabs>
          <w:tab w:val="num" w:pos="0"/>
        </w:tabs>
        <w:ind w:left="1886" w:hanging="420"/>
      </w:pPr>
    </w:lvl>
    <w:lvl w:ilvl="3">
      <w:start w:val="1"/>
      <w:numFmt w:val="decimal"/>
      <w:lvlText w:val="%4."/>
      <w:lvlJc w:val="left"/>
      <w:pPr>
        <w:tabs>
          <w:tab w:val="num" w:pos="0"/>
        </w:tabs>
        <w:ind w:left="2306" w:hanging="420"/>
      </w:pPr>
    </w:lvl>
    <w:lvl w:ilvl="4">
      <w:start w:val="1"/>
      <w:numFmt w:val="lowerLetter"/>
      <w:lvlText w:val="%5)"/>
      <w:lvlJc w:val="left"/>
      <w:pPr>
        <w:tabs>
          <w:tab w:val="num" w:pos="0"/>
        </w:tabs>
        <w:ind w:left="2726" w:hanging="420"/>
      </w:pPr>
    </w:lvl>
    <w:lvl w:ilvl="5">
      <w:start w:val="1"/>
      <w:numFmt w:val="lowerRoman"/>
      <w:lvlText w:val="%6."/>
      <w:lvlJc w:val="right"/>
      <w:pPr>
        <w:tabs>
          <w:tab w:val="num" w:pos="0"/>
        </w:tabs>
        <w:ind w:left="3146" w:hanging="420"/>
      </w:pPr>
    </w:lvl>
    <w:lvl w:ilvl="6">
      <w:start w:val="1"/>
      <w:numFmt w:val="decimal"/>
      <w:lvlText w:val="%7."/>
      <w:lvlJc w:val="left"/>
      <w:pPr>
        <w:tabs>
          <w:tab w:val="num" w:pos="0"/>
        </w:tabs>
        <w:ind w:left="3566" w:hanging="420"/>
      </w:pPr>
    </w:lvl>
    <w:lvl w:ilvl="7">
      <w:start w:val="1"/>
      <w:numFmt w:val="lowerLetter"/>
      <w:lvlText w:val="%8)"/>
      <w:lvlJc w:val="left"/>
      <w:pPr>
        <w:tabs>
          <w:tab w:val="num" w:pos="0"/>
        </w:tabs>
        <w:ind w:left="3986" w:hanging="420"/>
      </w:pPr>
    </w:lvl>
    <w:lvl w:ilvl="8">
      <w:start w:val="1"/>
      <w:numFmt w:val="lowerRoman"/>
      <w:lvlText w:val="%9."/>
      <w:lvlJc w:val="right"/>
      <w:pPr>
        <w:tabs>
          <w:tab w:val="num" w:pos="0"/>
        </w:tabs>
        <w:ind w:left="4406" w:hanging="420"/>
      </w:pPr>
    </w:lvl>
  </w:abstractNum>
  <w:abstractNum w:abstractNumId="1">
    <w:nsid w:val="6AF75ECA"/>
    <w:multiLevelType w:val="hybridMultilevel"/>
    <w:tmpl w:val="50D67556"/>
    <w:lvl w:ilvl="0">
      <w:start w:val="1"/>
      <w:numFmt w:val="decimal"/>
      <w:lvlRestart w:val="0"/>
      <w:lvlText w:val="%1、"/>
      <w:lvlJc w:val="left"/>
      <w:pPr>
        <w:tabs>
          <w:tab w:val="num" w:pos="0"/>
        </w:tabs>
        <w:ind w:left="1121" w:hanging="1121"/>
      </w:pPr>
      <w:rPr>
        <w:rFonts w:ascii="Times New Roman" w:hAnsi="Times New Roman" w:eastAsia="Times New Roman" w:cs="Times New Roman"/>
        <w:b w:val="0"/>
        <w:i w:val="0"/>
        <w:strike w:val="0"/>
        <w:dstrike w:val="0"/>
        <w:color w:val="000000"/>
        <w:sz w:val="32"/>
        <w:szCs w:val="32"/>
        <w:u w:val="none" w:color="000000"/>
        <w:vertAlign w:val="baseline"/>
      </w:rPr>
    </w:lvl>
    <w:lvl w:ilvl="1">
      <w:start w:val="1"/>
      <w:numFmt w:val="lowerLetter"/>
      <w:lvlText w:val="%2"/>
      <w:lvlJc w:val="left"/>
      <w:pPr>
        <w:tabs>
          <w:tab w:val="num" w:pos="0"/>
        </w:tabs>
        <w:ind w:left="1721" w:hanging="1721"/>
      </w:pPr>
      <w:rPr>
        <w:rFonts w:ascii="Times New Roman" w:hAnsi="Times New Roman" w:eastAsia="Times New Roman" w:cs="Times New Roman"/>
        <w:b w:val="0"/>
        <w:i w:val="0"/>
        <w:strike w:val="0"/>
        <w:dstrike w:val="0"/>
        <w:color w:val="000000"/>
        <w:sz w:val="32"/>
        <w:szCs w:val="32"/>
        <w:u w:val="none" w:color="000000"/>
        <w:vertAlign w:val="baseline"/>
      </w:rPr>
    </w:lvl>
    <w:lvl w:ilvl="2">
      <w:start w:val="1"/>
      <w:numFmt w:val="lowerRoman"/>
      <w:lvlText w:val="%3"/>
      <w:lvlJc w:val="left"/>
      <w:pPr>
        <w:tabs>
          <w:tab w:val="num" w:pos="0"/>
        </w:tabs>
        <w:ind w:left="2441" w:hanging="2441"/>
      </w:pPr>
      <w:rPr>
        <w:rFonts w:ascii="Times New Roman" w:hAnsi="Times New Roman" w:eastAsia="Times New Roman" w:cs="Times New Roman"/>
        <w:b w:val="0"/>
        <w:i w:val="0"/>
        <w:strike w:val="0"/>
        <w:dstrike w:val="0"/>
        <w:color w:val="000000"/>
        <w:sz w:val="32"/>
        <w:szCs w:val="32"/>
        <w:u w:val="none" w:color="000000"/>
        <w:vertAlign w:val="baseline"/>
      </w:rPr>
    </w:lvl>
    <w:lvl w:ilvl="3">
      <w:start w:val="1"/>
      <w:numFmt w:val="decimal"/>
      <w:lvlText w:val="%4"/>
      <w:lvlJc w:val="left"/>
      <w:pPr>
        <w:tabs>
          <w:tab w:val="num" w:pos="0"/>
        </w:tabs>
        <w:ind w:left="3161" w:hanging="3161"/>
      </w:pPr>
      <w:rPr>
        <w:rFonts w:ascii="Times New Roman" w:hAnsi="Times New Roman" w:eastAsia="Times New Roman" w:cs="Times New Roman"/>
        <w:b w:val="0"/>
        <w:i w:val="0"/>
        <w:strike w:val="0"/>
        <w:dstrike w:val="0"/>
        <w:color w:val="000000"/>
        <w:sz w:val="32"/>
        <w:szCs w:val="32"/>
        <w:u w:val="none" w:color="000000"/>
        <w:vertAlign w:val="baseline"/>
      </w:rPr>
    </w:lvl>
    <w:lvl w:ilvl="4">
      <w:start w:val="1"/>
      <w:numFmt w:val="lowerLetter"/>
      <w:lvlText w:val="%5"/>
      <w:lvlJc w:val="left"/>
      <w:pPr>
        <w:tabs>
          <w:tab w:val="num" w:pos="0"/>
        </w:tabs>
        <w:ind w:left="3881" w:hanging="3881"/>
      </w:pPr>
      <w:rPr>
        <w:rFonts w:ascii="Times New Roman" w:hAnsi="Times New Roman" w:eastAsia="Times New Roman" w:cs="Times New Roman"/>
        <w:b w:val="0"/>
        <w:i w:val="0"/>
        <w:strike w:val="0"/>
        <w:dstrike w:val="0"/>
        <w:color w:val="000000"/>
        <w:sz w:val="32"/>
        <w:szCs w:val="32"/>
        <w:u w:val="none" w:color="000000"/>
        <w:vertAlign w:val="baseline"/>
      </w:rPr>
    </w:lvl>
    <w:lvl w:ilvl="5">
      <w:start w:val="1"/>
      <w:numFmt w:val="lowerRoman"/>
      <w:lvlText w:val="%6"/>
      <w:lvlJc w:val="left"/>
      <w:pPr>
        <w:tabs>
          <w:tab w:val="num" w:pos="0"/>
        </w:tabs>
        <w:ind w:left="4601" w:hanging="4601"/>
      </w:pPr>
      <w:rPr>
        <w:rFonts w:ascii="Times New Roman" w:hAnsi="Times New Roman" w:eastAsia="Times New Roman" w:cs="Times New Roman"/>
        <w:b w:val="0"/>
        <w:i w:val="0"/>
        <w:strike w:val="0"/>
        <w:dstrike w:val="0"/>
        <w:color w:val="000000"/>
        <w:sz w:val="32"/>
        <w:szCs w:val="32"/>
        <w:u w:val="none" w:color="000000"/>
        <w:vertAlign w:val="baseline"/>
      </w:rPr>
    </w:lvl>
    <w:lvl w:ilvl="6">
      <w:start w:val="1"/>
      <w:numFmt w:val="decimal"/>
      <w:lvlText w:val="%7"/>
      <w:lvlJc w:val="left"/>
      <w:pPr>
        <w:tabs>
          <w:tab w:val="num" w:pos="0"/>
        </w:tabs>
        <w:ind w:left="5321" w:hanging="5321"/>
      </w:pPr>
      <w:rPr>
        <w:rFonts w:ascii="Times New Roman" w:hAnsi="Times New Roman" w:eastAsia="Times New Roman" w:cs="Times New Roman"/>
        <w:b w:val="0"/>
        <w:i w:val="0"/>
        <w:strike w:val="0"/>
        <w:dstrike w:val="0"/>
        <w:color w:val="000000"/>
        <w:sz w:val="32"/>
        <w:szCs w:val="32"/>
        <w:u w:val="none" w:color="000000"/>
        <w:vertAlign w:val="baseline"/>
      </w:rPr>
    </w:lvl>
    <w:lvl w:ilvl="7">
      <w:start w:val="1"/>
      <w:numFmt w:val="lowerLetter"/>
      <w:lvlText w:val="%8"/>
      <w:lvlJc w:val="left"/>
      <w:pPr>
        <w:tabs>
          <w:tab w:val="num" w:pos="0"/>
        </w:tabs>
        <w:ind w:left="6041" w:hanging="6041"/>
      </w:pPr>
      <w:rPr>
        <w:rFonts w:ascii="Times New Roman" w:hAnsi="Times New Roman" w:eastAsia="Times New Roman" w:cs="Times New Roman"/>
        <w:b w:val="0"/>
        <w:i w:val="0"/>
        <w:strike w:val="0"/>
        <w:dstrike w:val="0"/>
        <w:color w:val="000000"/>
        <w:sz w:val="32"/>
        <w:szCs w:val="32"/>
        <w:u w:val="none" w:color="000000"/>
        <w:vertAlign w:val="baseline"/>
      </w:rPr>
    </w:lvl>
    <w:lvl w:ilvl="8">
      <w:start w:val="1"/>
      <w:numFmt w:val="lowerRoman"/>
      <w:lvlText w:val="%9"/>
      <w:lvlJc w:val="left"/>
      <w:pPr>
        <w:tabs>
          <w:tab w:val="num" w:pos="0"/>
        </w:tabs>
        <w:ind w:left="6761" w:hanging="6761"/>
      </w:pPr>
      <w:rPr>
        <w:rFonts w:ascii="Times New Roman" w:hAnsi="Times New Roman" w:eastAsia="Times New Roman" w:cs="Times New Roman"/>
        <w:b w:val="0"/>
        <w:i w:val="0"/>
        <w:strike w:val="0"/>
        <w:dstrike w:val="0"/>
        <w:color w:val="000000"/>
        <w:sz w:val="32"/>
        <w:szCs w:val="32"/>
        <w:u w:val="none" w:color="000000"/>
        <w:vertAlign w:val="baseline"/>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217"/>
  <w:displayHorizontalDrawingGridEvery w:val="0"/>
  <w:displayVerticalDrawingGridEvery w:val="1"/>
  <w:compat>
    <w:spaceForUL/>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5" w:line="386" w:lineRule="auto"/>
      <w:ind w:firstLine="634"/>
    </w:pPr>
    <w:rPr>
      <w:rFonts w:ascii="微软雅黑" w:eastAsia="微软雅黑" w:cs="微软雅黑"/>
      <w:color w:val="000000"/>
      <w:kern w:val="2"/>
      <w:sz w:val="32"/>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spacing w:line="240" w:lineRule="auto"/>
    </w:pPr>
    <w:rPr>
      <w:sz w:val="18"/>
      <w:szCs w:val="18"/>
    </w:rPr>
  </w:style>
  <w:style w:type="paragraph" w:customStyle="1" w:styleId="16">
    <w:name w:val="List Paragraph"/>
    <w:basedOn w:val="0"/>
    <w:pPr>
      <w:ind w:firstLineChars="200" w:firstLine="200"/>
    </w:pPr>
  </w:style>
  <w:style w:type="paragraph" w:customStyle="1" w:styleId="17">
    <w:name w:val="[Normal]"/>
    <w:rPr>
      <w:rFonts w:asci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250</TotalTime>
  <Application>Yozo_Office</Application>
  <Pages>24</Pages>
  <Words>7033</Words>
  <Characters>7624</Characters>
  <Lines>915</Lines>
  <Paragraphs>299</Paragraphs>
  <CharactersWithSpaces>7769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lenovo</cp:lastModifiedBy>
  <cp:revision>15</cp:revision>
  <dcterms:created xsi:type="dcterms:W3CDTF">2017-06-19T03:21:00Z</dcterms:created>
</cp:coreProperties>
</file>